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B-5892/2019 vom 16. April 2020</w:t>
      </w:r>
    </w:p>
    <w:p>
      <w:r>
        <w:t>Bundesverwaltungsgericht, 2020-04-16, FR</w:t>
      </w:r>
    </w:p>
    <w:p>
      <w:r>
        <w:rPr>
          <w:b/>
        </w:rPr>
        <w:t xml:space="preserve">Quelle: </w:t>
      </w:r>
      <w:r>
        <w:t>https://mcp.opencaselaw.ch/entscheid/bvger_B-5892_2019</w:t>
      </w:r>
    </w:p>
    <w:p>
      <w:r>
        <w:t>FR: TAF B-5892/2019 du 16 avril 2020</w:t>
      </w:r>
    </w:p>
    <w:p>
      <w:r>
        <w:t>IT: TAF B-5892/2019 del 16 aprile 2020</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à la recourante (cf. art. 48 al. 1 PA). Les autres conditions de recevabilité sont en outre respectées (cf. art. 50, 52 al. 1 et 63 al. 4 PA).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2.2</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B-6383/2017 du 20 août 2018 consid. 2.1, B-4257/2013 du 17 novembre 2015 consid. 3.1 et B-7504/2007 du 9 mars 2009 consid. 2).</w:t>
      </w:r>
    </w:p>
    <w:p>
      <w:r>
        <w:rPr>
          <w:b/>
        </w:rPr>
        <w:t>E. 2.3</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B-6296/2017 du 13 novembre 2018 consid. 2.2, B -6383/2017 du 20 août 2018 consid. 2.1, B-2943/2017 du 23 juillet 2018 consid. 5.3, B-95/2017 du 2 février 2018 consid. 2.3, B-6395/2014 du 29 novembre 2016 consid. 3.3 et B-6593/2013 du 7 août 2014 consid. 2 ; Patricia Egli, Gerichtlicher Rechtsschutz bei Prüfungsfällen - Aktuelle Entwicklungen, Schweizerisches Zentralblatt für Staats- und Verwaltungsrecht [ZBl] 112/2011, p. 538 ss ; Plotke, op. cit., p. 725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(cf.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LPMéd), le Conseil fédéral a arrêté l'ordonnance du 26 novembre 2008 concernant les examens fédéraux des professions médicales universitaires (ordonnance concernant les examens LPMéd, RS 811.113.3), laquelle prévoit notamment que l'examen fédéral se compose d'une ou plusieurs épreuves (cf. art. 5 al. 1 1re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w:t>
      </w:r>
    </w:p>
    <w:p>
      <w:r>
        <w:rPr>
          <w:b/>
        </w:rPr>
        <w:t>E. 3.2</w:t>
      </w:r>
    </w:p>
    <w:p>
      <w:r>
        <w:t>En application de l'art. 3 al. 2 de dite ordonnance, qui dispose que le Département fédéral de l'intérieur DFI définit, après avoir consulté la section « formation universitaire »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celle de l'examen écrit de questionnaire à choix multiples (cf. art. 8 ss).</w:t>
      </w:r>
    </w:p>
    <w:p>
      <w:r>
        <w:rPr>
          <w:b/>
        </w:rPr>
        <w:t>E. 3.3</w:t>
      </w:r>
    </w:p>
    <w:p>
      <w:r>
        <w:t>L'ordonnance concernant les examens LPMéd prévoit également que la section « formation universitaire » de la MEBEKO édicte pour chaque profession médicale, sur proposition de la commission d'examen concernée, des exigences concernant le contenu, la forme, la date ainsi que la correction et l'évaluation de l'examen fédéral et des directives sur les détails de l'organisation de l'examen fédéral (cf. art. 5a). Fondée sur ce qui précède, la Commission des professions médicales MEBEKO, section « formation universitaire », a édicté, sur proposition de la commission d'examen de médecine humaine, diverses réglementations relatives à l'examen fédéral de médecine humaine et valables pour l'année d'examen 2019, en particulier les « exigences de la Commission des professions médicales MEBEKO, section 'formation universitaire', concernant le contenu, la forme, les dates, la correction et l'évaluation de l'examen fédéral en médecine humaine » (ci-après : les exigences) et les «directives de la Commission fédérale des professions médicales MEBEKO, section 'formation universitaire', sur les détails de l'organisation de l'examen fédéral en médecine humaine» (ci-après : les directives). S'agissant de l'examen de choix multiples, celui-ci est composé de deux épreuves partielles de 150 questions, d'une durée de 4 heures et demie chacune (cf. art. 3.1 des exigences) et permet de tester tout le spectre des connaissances interdisciplinaires en médecine humaine (cf. art. 2.2 des exigences).</w:t>
      </w:r>
    </w:p>
    <w:p>
      <w:r>
        <w:rPr>
          <w:b/>
        </w:rPr>
        <w:t>E. 4</w:t>
      </w:r>
    </w:p>
    <w:p>
      <w:r>
        <w:t>La recourante s'en prend à la correction de la question 119 de la première partie de l'examen et réclame un point supplémentaire qui lui permettrait de réussir l'épreuve. Elle se prévaut de la réponse donnée dans le carnet d'examen et requiert sa prise en compte dans l'évaluation de l'épreuve.</w:t>
      </w:r>
    </w:p>
    <w:p>
      <w:r>
        <w:rPr>
          <w:b/>
        </w:rPr>
        <w:t>E. 4.1</w:t>
      </w:r>
    </w:p>
    <w:p>
      <w:r>
        <w:t>En vertu de l'art. 5.1.1 des exigences, lors du dépouillement des réponses, seuls les marquages apportés sur la fiche à lecture optique (fiche de lecture) seront pris en compte ; les marquages manquants ou déplacés sur la fiche de lecture ne sont pas complétés ou remplacés par des marquages figurant dans le cahier de questions. A cela s'ajoute que, selon le document « organisation et déroulement de l'examen QCM fédéral de médecine humaine 2019 », la feuille de réponses constitue le seul document officiel d'évaluation ; un report incomplet ou fautif ne donne aucun motif de recours. Ce n'est qu'en cas de perte ou de destruction de la feuille de réponses après la remise aux surveillants, que les réponses marquées dans le livret sont prises en considération.</w:t>
      </w:r>
    </w:p>
    <w:p>
      <w:r>
        <w:rPr>
          <w:b/>
        </w:rPr>
        <w:t>E. 4.2</w:t>
      </w:r>
    </w:p>
    <w:p>
      <w:r>
        <w:t>En l'occurrence, il sied de constater que l'on ne se trouve pas dans la situation où la feuille de réponse aurait été perdue ou détruite après sa remise aux surveillants. Aussi, il y a lieu de retenir que, même si la recourante a coché la bonne réponse dans le carnet d'examen, on ne saurait la prendre en compte dès lors que la réponse reportée sur la feuille de réponse est fausse. On attend en effet d'un candidat à l'examen fédéral de médecine qu'il sache gérer son stress et le rythme dudit examen et qu'en conséquence il soit en mesure de reporter correctement ses réponses sur la feuille prévue à cet effet (cf. arrêts du TAF B-6383/2017 du 20 août 2018 consid. 6.5 et B-6395/2014 du 29 novembre 2016 consid. 4.2.2 ; voir les art. 4 et 7 en lien avec l'art. 14 al. 2 LPméd ; message du 3 décembre 2004 concernant la loi fédérale sur les professions médicales universitaires [FF 2005 157 ss. 188 ss et 191 s). En conséquence, même si la correction peut paraître sévère - compte tenu de la situation de la recourante et du fait qu'un seul point lui fait défaut-, elle n'en demeure pas moins pleinement conforme aux règles régissant l'épreuve. Il suit de là que, mal fondé, le recours doit être rejeté.</w:t>
      </w:r>
    </w:p>
    <w:p>
      <w:r>
        <w:rPr>
          <w:b/>
        </w:rPr>
        <w:t>E. 5</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7</w:t>
      </w:r>
    </w:p>
    <w:p>
      <w:r>
        <w:t>Compte tenu de l'issue de la procédure, la recourante n'a pas droit à des dépens (cf. art. 64 al. 1 PA et art. 7 al. 1 FITAF a contrario).</w:t>
      </w:r>
    </w:p>
    <w:p>
      <w:r>
        <w:rPr>
          <w:b/>
        </w:rPr>
        <w:t>E. 8</w:t>
      </w:r>
    </w:p>
    <w:p>
      <w:r>
        <w:t>Les décisions relatives aux résultats d'examens n'étant pas susceptibles de recours en matière de droit public au Tribunal fédéral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