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B-5878/2009 vom 20. Januar 2010</w:t>
      </w:r>
    </w:p>
    <w:p>
      <w:r>
        <w:t>Bundesverwaltungsgericht, 2010-01-20, DE</w:t>
      </w:r>
    </w:p>
    <w:p>
      <w:r>
        <w:rPr>
          <w:b/>
        </w:rPr>
        <w:t xml:space="preserve">Quelle: </w:t>
      </w:r>
      <w:r>
        <w:t>https://mcp.opencaselaw.ch/entscheid/bvger_B-5878_2009</w:t>
      </w:r>
    </w:p>
    <w:p>
      <w:r>
        <w:t>FR: TAF B-5878/2009 du 20 janvier 2010</w:t>
      </w:r>
    </w:p>
    <w:p>
      <w:r>
        <w:t>IT: TAF B-5878/2009 del 20 gennaio 2010</w:t>
      </w:r>
    </w:p>
    <w:p>
      <w:pPr>
        <w:pStyle w:val="Heading2"/>
      </w:pPr>
      <w:r>
        <w:t>Regeste</w:t>
      </w:r>
    </w:p>
    <w:p>
      <w:r>
        <w:t>Landwirtschaft (Übriges)</w:t>
      </w:r>
    </w:p>
    <w:p>
      <w:pPr>
        <w:pStyle w:val="Heading2"/>
      </w:pPr>
      <w:r>
        <w:t>Erwägungen</w:t>
      </w:r>
    </w:p>
    <w:p>
      <w:r>
        <w:rPr>
          <w:b/>
        </w:rPr>
        <w:t>E. 1</w:t>
      </w:r>
    </w:p>
    <w:p>
      <w:r>
        <w:t>Der angefochtene Beschwerdeentscheid vom 10. August 2009 stützt sich auf die Landwirtschaftsgesetzgebung und damit auf öffentliches Recht des Bundes. Er stellt eine Verfügung i.S.v. Art. 5 Abs. 2 des Bundesgesetzes vom 20. Dezember 1968 über das Verwaltungsverfahren (VwVG, SR 172.021) dar. Das Bundesverwaltungsgericht beurteilt unter anderem Beschwerden gegen Verfügungen letzter kantonaler Instanzen, soweit ein Bundesgesetz dies vorsieht (Art. 31 i.V.m. Art. 33 Bst. i des Verwaltungsgerichtsgesetzes vom 17. Juni 2005 [VGG, SR 173.32]). Gemäss Art. 166 Abs. 2 des Landwirtschaftsgesetzes vom 29. April 1998 (LwG, SR 910.1) kann gegen Verfügungen letzter kantonaler Instanzen, die in Anwendung des LwG und seiner Ausführungsbestimmungen ergangen sind, beim Bundesverwaltungsgericht Beschwerde erhoben werden. Ausgenommen sind einzig kantonale Verfügungen über Strukturverbesserungen, die mit Beiträgen unterstützt werden. Eingabefrist und -form sind gewahrt (Art. 50 und Art. 52 Abs. 1 VwVG), der Vertreter hat sich rechtsgenüglich ausgewiesen (Art. 11 VwVG) und der Kostenvorschuss wurde fristgemäss bezahlt (Art. 63 Abs. 4 VwVG). Es fragt sich indessen, ob die Sachurteilsvoraussetzung der Beschwerdelegitimation nach Art. 48 VwVG vorliegend erfüllt ist.</w:t>
      </w:r>
    </w:p>
    <w:p>
      <w:r>
        <w:rPr>
          <w:b/>
        </w:rPr>
        <w:t>E. 1.1</w:t>
      </w:r>
    </w:p>
    <w:p>
      <w:r>
        <w:t>Es ist daher zweifelhaft, ob die Beschwerdeführerin, worauf auch die Vorinstanz mit Recht hinweist, ein praktisches Interesse an der Änderung der angefochtenen Verfügung bezüglich des Begriffes "Gemeinschaftsweidebetrieb" und des Verweises auf Art. 8 LBV hat. Diese Frage muss indessen nicht abschliessend beantwortet werden, da die Beschwerde aus nachfolgenden Gründen (vgl. E. 2) ohnehin abzuweisen ist.</w:t>
      </w:r>
    </w:p>
    <w:p>
      <w:r>
        <w:rPr>
          <w:b/>
        </w:rPr>
        <w:t>E. 1.2</w:t>
      </w:r>
    </w:p>
    <w:p>
      <w:r>
        <w:t>Die Beschwerdeführerin stellte ein Gesuch um Anerkennung als beitragsberechtigter Betrieb, welches von der Erstinstanz gutgeheissen wurde. Die Beschwerde richtet sich ausschliesslich gegen den Wortlaut in Dispositiv Ziffer 1 der erstinstanzlichen Verfügung, wonach die Beschwerdeführerin als Gemeinschaftsweidebetrieb im Sinne von Art. 8 LBV anerkannt wird. Die Beschwerdeführerin beantragt, sie sei stattdessen als sömmerungsberechtigter Betrieb anzuerkennen. Als Gemeinschaftsweidebetrieb hat die Beschwerdeführerin das Recht auf Ausrichtung von Sömmerungsbeiträgen. Solche werden in der erstinstanzlichen Verfügung indessen noch nicht zugesprochen. Vorliegend ist nicht ersichtlich, dass die Bezeichnung als Gemeinschaftsweidebetrieb praktische Auswirkungen für die Beschwerdeführerin hat, welche sich von jenen unterscheiden, welche die Bezeichnung als "sömmerungsberechtigter Betrieb" hätte (vgl. zu diesem Begriff auch unten, E. 2.2). Weder die Eigentumsverhältnisse an den Gebäuden noch diejenigen am Land und an den Kuhrechten werden von der Anerkennung direkt berührt. Die Beschwerdeführerin legt nicht dar, inwiefern die Bezeichnung als sömmerungsberechtigter Betrieb bzw. als Gemeinschaftsweidebetrieb sich auf geltend gemachte Rückforderungen sowie auf die prozessualen Voraussetzungen und Erfolgschancen einer allfälligen Verantwortlichkeitsklage auszuwirken vermöchten. Dies ist auch für das Bundesverwaltungsgericht nicht ersichtlich.</w:t>
      </w:r>
    </w:p>
    <w:p>
      <w:r>
        <w:rPr>
          <w:b/>
        </w:rPr>
        <w:t>E. 2</w:t>
      </w:r>
    </w:p>
    <w:p>
      <w:r>
        <w:t>Mit Verfügung vom 6. März 2009 anerkannte die Erstinstanz die Beschwerdeführerin als Gemeinschaftsweidebetrieb im Sinne von Art. 8 LBV. Die Beschwerdeführerin beantragt die Anerkennung als sömmerungsberechtigter Betrieb. Sie macht geltend, sie sei kein Gemeinschaftsweidebetrieb nach Art. 8 LBV, denn die Genossenschafter seien dinglich an der Fläche berechtigt und bewirtschafteten ihre Anteile an der Parzelle auf eigene Rechnung und Gefahr. Aus diesem Grund sei es unzulässig, diese Flächen mittels öffentlich-rechtlicher Verfügung als einer Genossenschaft zugehörig und damit einem landwirtschaftlichen Unternehmen zuzuweisen, das in dieser Form gar nicht existiere. Im Folgenden ist daher zu untersuchen, ob die Beschwerdeführerin ein Gemeinschaftsweidebetrieb ist.</w:t>
      </w:r>
    </w:p>
    <w:p>
      <w:r>
        <w:rPr>
          <w:b/>
        </w:rPr>
        <w:t>E. 2.1</w:t>
      </w:r>
    </w:p>
    <w:p>
      <w:r>
        <w:t>Wenn die Beschwerdeführerin argumentiert, aus dem vorstehend besprochenen Verfahren B-2060/2007 ergebe sich, dass ihre Anerkennung als Gemeinschaftsweidebetrieb unrichtig sei, geht sie nach dem Gesagten demnach fehl. In diesem Zusammenhang sind auch die Ausführungen der Beschwerdeführerin bezüglich der Zugehörigkeit der Kuhrechte zum Hauptbetrieb der jeweiligen Eigentümer dieser Rechte sowie zur Frage der "Doppelanerkennung" nicht ausschlaggebend. Deshalb erübrigen sich Weiterungen hierzu sowie insbesondere die Durchführung weiterer Beweismassnahmen, wie sie beantragt wurden. Die Anerkennung der Beschwerdeführerin als Gemeinschaftsweidebetrieb im Sinne von Art. 8 LBV steht somit im Einklang mit der dargestellten Sach- und Rechtslage. Die Beschwerdeführerin, die eine andere Meinung vertritt, vermag auch in diesem Verfahren mit ihren Einwänden nicht durchzudringen. Die Beschwerde ist abzuweisen. 1. Bei diesem Ausgang des Verfahrens hat die unterliegende Beschwerdeführerin die Verfahrenskosten zu tragen (Art. 37 VGG i.V.m. Art. 63 Abs. 1 VwVG). Diese werden gerichtlich auf Fr. 700.- bestimmt und mit dem Kostenvorschuss verrechnet (Art. 1 ff. des Reglements vom 21. Februar 2008 über die Kosten und Entschädigungen vor dem Bundesverwaltungsgericht [VGKE, SR 173.320.2]). Eine Parteientschädigung wird nicht zugesprochen.</w:t>
      </w:r>
    </w:p>
    <w:p>
      <w:r>
        <w:rPr>
          <w:b/>
        </w:rPr>
        <w:t>E. 2.1.1</w:t>
      </w:r>
    </w:p>
    <w:p>
      <w:r>
        <w:t>Entgegen dem Vorbringen der Beschwerdeführerin hat das Bundesverwaltungsgericht somit in der Begründung seines Urteils weder gesagt, dass eine Gemeinschaftsweide nicht zu einem Gemeinschaftsweidebetrieb gehören müsse, noch dass die Beschwerdeführerin keinen Gemeinschaftsweidebetrieb führe. Es hielt stattdessen fest, dass ein Gemeinschaftsweidebetrieb nicht zwingend von der Korporation als solcher bewirtschaftet werden müsse, sondern dass auch andere Formen der Bewirtschaftung (bspw. durch lose Zusammenschlüsse der verbleibenden Bestösser, d.h. Bewirtschaftergemeinschaften) möglich seien (E. 4.4.3 des Urteils). Das Bundesverwaltungsgericht führte in diesem Zusammenhang aus, es sei bei der Qualifikation einer Weide als Gemeinschafts- bzw. als Sömmerungsweide unerheblich, wie die Berechtigungen an der Fläche im Einzelnen ausgestaltet seien (Auftriebsrechte oder Eigentum bzw. Pacht von Kuhrechten) bzw. ob die Körperschaft eigentliche Bewirtschafterin sei in dem Sinne, dass sie Nutzen und Gefahr trage. Massgebend sei, dass die Weidenutzung von mehreren Tierhaltern in gemeinschaftlicher Weise erfolge (E. 6.1 und 6.2 des Urteils vom 31. Juli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