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B-5858/2014 vom 30. Oktober 2017</w:t>
      </w:r>
    </w:p>
    <w:p>
      <w:r>
        <w:t>Bundesverwaltungsgericht, 2017-10-30, DE</w:t>
      </w:r>
    </w:p>
    <w:p>
      <w:r>
        <w:rPr>
          <w:b/>
        </w:rPr>
        <w:t xml:space="preserve">Quelle: </w:t>
      </w:r>
      <w:r>
        <w:t>https://mcp.opencaselaw.ch/entscheid/bvger_B-5858_2014</w:t>
      </w:r>
    </w:p>
    <w:p>
      <w:r>
        <w:t>FR: TAF B-5858/2014 du 30 octobre 2017</w:t>
      </w:r>
    </w:p>
    <w:p>
      <w:r>
        <w:t>IT: TAF B-5858/2014 del 30 ottobre 2017</w:t>
      </w:r>
    </w:p>
    <w:p>
      <w:pPr>
        <w:pStyle w:val="Heading2"/>
      </w:pPr>
      <w:r>
        <w:t>Regeste</w:t>
      </w:r>
    </w:p>
    <w:p>
      <w:r>
        <w:t>Kartelle</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und eine Vorinstanz gemäss Art. 33 VGG entschieden hat. Das Verfahren vor dem Bundesverwaltungsgericht richtet sich nach dem VwVG, soweit das VGG nichts anderes vorsieht (Art. 37 VGG).</w:t>
      </w:r>
    </w:p>
    <w:p>
      <w:r>
        <w:rPr>
          <w:b/>
        </w:rPr>
        <w:t>E. 1.2</w:t>
      </w:r>
    </w:p>
    <w:p>
      <w:r>
        <w:t>Die WEKO ist Vorinstanz i.S.v. Art. 33 Bst. f VGG (vgl. Art. 18 Abs. 3 und 39 KG; Urteil des BVGer B-7084/2010 vom 6. Dezember 2010 E. 1.2). Die Erfordernisse an Form und Frist (Art. 50 Abs. 1 und Art. 52 Abs. 1 i.V.m. Art. 11 VwVG) sind eingehalten, der Kostenvorschuss wurde innert Frist bezahlt (Art. 63 Abs. 4 VwVG).</w:t>
      </w:r>
    </w:p>
    <w:p>
      <w:r>
        <w:rPr>
          <w:b/>
        </w:rPr>
        <w:t>E. 1.3</w:t>
      </w:r>
    </w:p>
    <w:p>
      <w:r>
        <w:t>Die Vorinstanz begründet ihren Antrag auf teilweises Nichteintreten mit der Überlegung, die Publikation der Sanktionsverfügung sei grundsätzlich als Realakt kein taugliches Anfechtungsobjekt. Im Sinne von Art. 25a Abs. 2 VwVG ergehe eine Verfügung, wenn sich Partei und WEKO über die Form oder Art der Publikation nicht einig seien. Die Verfügung weiche aber nicht vom Grundsatz ab, dass die Publikation als solche kein taugliches Anfechtungsobjekt sei. Deshalb gebreche es der Beschwerde, soweit sie den Verzicht auf die Publikation überhaupt verlange, am Anfechtungsobjekt (Vernehmlassung Ziff. 5).</w:t>
      </w:r>
    </w:p>
    <w:p>
      <w:r>
        <w:rPr>
          <w:b/>
        </w:rPr>
        <w:t>E. 1.3.1</w:t>
      </w:r>
    </w:p>
    <w:p>
      <w:r>
        <w:t>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Das Vorliegen einer Verfügung als Anfechtungsobjekt ist Sachurteilsvoraussetzung (Moser/Beusch/Kneubühler, Prozessieren vor dem Bundesverwaltungsgericht, Handbücher für die Anwaltspraxis, 2. Aufl. 2013, N 2.1 und 2.6; Uhlmann, in: Waldmann/Weissenberger (Hrsg.), Praxiskommentar Verwaltungsverfahrensgesetz [nachstehend: Praxiskommentar VwVG], 2. Aufl. 2016, Art. 5 VwVG N 5; Art. 31 VGG; Art. 46 VwVG). Unter einer Verfügung versteht sich gemäss Art. 5 Abs. 1 VwVG eine Anordnung der Behörden im Einzelfall, die sich auf öffentliches Recht des Bundes stützt und (Bst. a.) die Begründung, Änderung oder Aufhebung von Rechten oder Pflichten, (Bst. b) die Feststellung des Bestehens, Nichtbestehens oder des Umfanges von Rechten oder Pflichten oder (Bst. c) die Abweisung von Begehren auf Begründung, Änderung, Aufhebung oder Feststellung von Rechten oder Pflichten, oder Nichteintreten auf solche Begehren zum Gegenstand hat. Sogenannten Realakten kommt kein Verfügungscharakter zu. Es handelt sich um tatsächliches Verwaltungshandeln, welches nicht auf einen rechtlichen, sondern einen tatsächlichen Erfolg gerichtet ist; es begründet keine unmittelbaren Rechte und Pflichten von Privaten, kann aber mittelbare Rechtswirkungen zur Folge haben (Häfelin/Müller/Uhlmann, Allgemeines Verwaltungsrecht, 7. Aufl. 2016, Rz. 1408 und 1425; Häner, in: Waldmann/Weissenberger (Hrsg.), Praxiskommentar VwVG, 2. Aufl. 2016, N 6 zu Art. 25a VwVG). Um den Rechtsmittelweg zu eröffnen, kann, wer ein schutzwürdiges Interesse hat, gestützt auf Art. 25a VwVG von der zuständigen Behörde eine Verfügung über Handlungen verlangen, die sich auf öffentliches Recht des Bundes stützen und Rechte oder Pflichten berühren.</w:t>
      </w:r>
    </w:p>
    <w:p>
      <w:r>
        <w:rPr>
          <w:b/>
        </w:rPr>
        <w:t>E. 1.3.2</w:t>
      </w:r>
    </w:p>
    <w:p>
      <w:r>
        <w:t>Die Publikation kartellrechtlicher Sanktionsverfügungen ist ein Realakt (Urteil 2C_1065/2014 "Nikon AG" E. 1.1, nicht publ. in BGE 142 II 268; Urteile des BVGer B-4221/2008 vom 28. September 2009 E. 6.2; B-3588/2012 "Nikon AG" E. 1.1; Häner, a.a.O. N 7 und Fn 20 zu Art. 25a VwVG). Im Bewusstsein um diese Ausgangslage kündigte die Vorinstanz bereits mit der Zustellung der Sanktionsverfügung am 9. Januar 2014 an, bei Uneinigkeit über die Publikation eine Verfügung zu erlassen, mag in ihren Augen dabei als "Uneinigkeit" auch die Frage im Vordergrund gestanden sein, in welchem Umfang Abdeckungen vorzunehmen wären. Die Beschwerdeführerin stellte den Antrag, auf die Publikation sei an sich zu verzichten. Die Publikationsverfügung sprach sich sodann in ihrer Begründung in mehrfacher Hinsicht auch über die Frage der Publikation im Grundsatz aus (ausführlich nachstehend, E. 2.4), nicht ohne festzuhalten, es gehe vorliegend um "Grundsatzfragen, die einer Klärung durch die Rechtsprechung bedürfen", weshalb "die Frage der Publikation und die Frage des Umfangs gleichzeitig im Rahmen einer Verfügung zu beantworten" seien (Ziff. 18; vgl. Vernehmlassung, Ziff. 6).</w:t>
      </w:r>
    </w:p>
    <w:p>
      <w:r>
        <w:rPr>
          <w:b/>
        </w:rPr>
        <w:t>E. 1.3.3</w:t>
      </w:r>
    </w:p>
    <w:p>
      <w:r>
        <w:t>Gegenstand einer Verfügung über Realakte kann nach einhelliger Auffassung eine Handlung wie auch ein Unterlassen sein (Häfelin/Müller/Uhlmann, a.a.O., Rz. 1433; Häner, a.a.O. N 10 f. zu Art. 25a VwVG; Kiener/Rütsche/Kuhn, Öffentliches Verfahrensrecht, 2. Aufl. 2015, Rz. 428), sofern es in Anwendung von öffentlichem Recht des Bundes geschieht. Vorliegend beantragte die Beschwerdeführerin in Bezug auf eine Bestimmung des Bundesverwaltungsrechts, welche durch die Einräumung von Ermessen beide Optionen zulässt, eine bestimmte Handlung - die gegenständliche Veröffentlichung - zu unterlassen und die Vorinstanz entschied, diese Handlung vorzunehmen. Dabei bezog sie sich ausdrücklich darauf, dass gerade auch diese Frage (und nicht nur die Ausführung im Konkreten) eine von der Rechtsprechung zu klärende Grundsatzfrage sei (vgl. dazu ausführlich nachstehend, E. 2.4). Die Vorinstanz erklärt weder, dass die Beschwerdeführerin (nur) an der Grundsatzfrage kein schutzwürdiges Interesse hätte, noch, weshalb die gestützt auf Art. 25a VwVG (i.V.m. Art. 48 Abs. 1 KG) erlassene Verfügung nur bezüglich der umstrittenen Ausführungsfragen, nicht aber betreffend die ebenso strittige Grundsatzfrage als Anfechtungsobjekt taugen solle. Dergleichen ist auch nicht erkennbar. Das Dispositiv könnte für sich genommen zwar theoretisch so gelesen werden, dass nur die Art der Publikation geregelt würde ("[...] wird in der Version veröffentlicht, die sich im Anhang [...] befindet."), jedoch ist dieses nicht nur nach dem reinen Wortlaut zu verstehen, sondern nach seinem rechtlichen Gehalt, zu dessen Sinnermittlung die Erwägungen beizuziehen sind (Zibung/Hofstetter, in: Waldmann/Weissenberger (Hrsg.), Praxiskommentar VwVG, 2. Aufl. 2016, N 51 zu Art. 49 VwVG m.w.H. in Fn. 243; BGE 120 V 496 E. 1a; BVGE 2014/24 E. 1.4.1 m.w.H.) - aufgrund der Verfahrensgeschichte einerseits und der Begründung der Verfügung anderseits verbietet sich diese eingeschränkte Lesart. Die Publikationsverfügung regelt sowohl die Publikation an sich als auch deren konkrete Gestaltung - und beides kann denn auch mit Beschwerde in Frage gestellt werden.</w:t>
      </w:r>
    </w:p>
    <w:p>
      <w:r>
        <w:rPr>
          <w:b/>
        </w:rPr>
        <w:t>E. 1.4</w:t>
      </w:r>
    </w:p>
    <w:p>
      <w:r>
        <w:t>Eine Ausnahme nach Art. 32 VGG liegt nicht vor.</w:t>
      </w:r>
    </w:p>
    <w:p>
      <w:r>
        <w:rPr>
          <w:b/>
        </w:rPr>
        <w:t>E. 1.5</w:t>
      </w:r>
    </w:p>
    <w:p>
      <w:r>
        <w:t>Die Beschwerdeführerin ist als Adressatin der Publikationsverfügung i.S.v. Art. 48 VwVG zur Beschwerde legitimiert (vgl. Urteil B-3588/2012 "Nikon AG" E. 1.1 al. 4 m.w.H.).</w:t>
      </w:r>
    </w:p>
    <w:p>
      <w:r>
        <w:rPr>
          <w:b/>
        </w:rPr>
        <w:t>E. 1.6</w:t>
      </w:r>
    </w:p>
    <w:p>
      <w:r>
        <w:t>Auf die Beschwerde ist somit vollumfänglich einzutreten.</w:t>
      </w:r>
    </w:p>
    <w:p>
      <w:r>
        <w:rPr>
          <w:b/>
        </w:rPr>
        <w:t>E. 1.7</w:t>
      </w:r>
    </w:p>
    <w:p>
      <w:r>
        <w:t>Mit der Beschwerde können gemäss Art. 49 VwVG die Verletzung von Bundesrecht (einschliesslich Überschreitung und Missbrauch des Ermessens; Bst. a), die unrichtige oder unvollständige Feststellung des Sachverhalts (Bst. b) und die Unangemessenheit (Bst. c) gerügt werden. Die Beschwerdeführerin macht einerseits geltend, die Vorinstanz habe ihr Ermessen überschritten und somit Bundesrecht verletzt, anderseits das ihr, der Beschwerdeführerin, zustehende rechtliche Gehör (Art. 29 Abs. 2 BV) nicht gewährt (Beschwerde, Ziff. 14)</w:t>
      </w:r>
    </w:p>
    <w:p>
      <w:r>
        <w:rPr>
          <w:b/>
        </w:rPr>
        <w:t>E. 2.1</w:t>
      </w:r>
    </w:p>
    <w:p>
      <w:r>
        <w:t>Angesichts der formellen Natur des Anspruchs auf rechtliches Gehör ist diese Rüge vorab zu behandeln (BGE 141 V 495 E. 2.2; 138 I 232 E. 5.1; Waldmann/Bickel, in: Waldmann/Weissenberger (Hrsg.), Praxiskommentar VwVG, 2. Aufl. 2016, Rz. 106 f. zu Art. 29 VwVG).</w:t>
      </w:r>
    </w:p>
    <w:p>
      <w:r>
        <w:rPr>
          <w:b/>
        </w:rPr>
        <w:t>E. 2.2</w:t>
      </w:r>
    </w:p>
    <w:p>
      <w:r>
        <w:t>Die Beschwerdeführerin macht geltend, die Vorinstanz habe sich auf sachfremde Fragen - insbesondere die Bestimmung von Geschäftsgeheimnissen - konzentriert und die Kernfrage des Verfahrens umgangen, nämlich die, ob die Wettbewerbsbehörden um Geschäftsgeheimnisse bereinigte Entscheide publizieren dürfe (Beschwerde, Ziff. 16 f.). Die Vorinstanz demgegenüber stellt sich auf den Standpunkt, die angefochtene Verfügung prüfe keineswegs nur die Frage der Geschäftsgeheimnisse, sondern die sich stellenden Fragen umfassend, darunter insbesondere auch die Grundsatzfrage nach der Publikation an sich (Vernehmlassung, Ziff. 6).</w:t>
      </w:r>
    </w:p>
    <w:p>
      <w:r>
        <w:rPr>
          <w:b/>
        </w:rPr>
        <w:t>E. 2.3</w:t>
      </w:r>
    </w:p>
    <w:p>
      <w:r>
        <w:t>Aus dem in Art. 29 Abs. 2 BV geregelten Anspruch auf rechtliches Gehör leitet die Rechtsprechung die Pflicht der Behörden ab, ihre Verfügungen und Entscheide zu begründen. Das rechtliche Gehör als persönlichkeitsbezogenes Mitwirkungsrecht erfordert, dass die Behörde die Vorbringen einer Partei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139 V 496 E. 5.1; 129 I 232 E. 3.2, je m.w.H.; Urteil des BGer 1C_33/2016 vom 17. November 2016 E. 3.2; Müller/Schefer, Grundrechte in der Schweiz, 4. Aufl., 2008, S. 885 ff.; Steinmann, St. Galler Kommentar, N 49 zu Art. 29 BV; Waldmann/Bickel, a.a.O. Rz. 102 f. zu Art. 29 VwVG).</w:t>
      </w:r>
    </w:p>
    <w:p>
      <w:r>
        <w:rPr>
          <w:b/>
        </w:rPr>
        <w:t>E. 2.4</w:t>
      </w:r>
    </w:p>
    <w:p>
      <w:r>
        <w:t>Die Beschwerdeführerin stellte in ihren Eingaben vom 14. Februar 2014, 26. Juni 2014 und 8. Juli 2014 sinngemäss die Anträge, es sei auf die Publikation überhaupt zu verzichten, eventualiter habe sich eine Publikation auf die wesentlichen Entscheidgründe zu beschränken (vorne, Sachverhalt, B.c, B.e und B.f). Im Wesentlichen verwies sie auf die Vorgehensweise der Kommission im durch diese entschiedenen Parallelfall und machte geltend, es gehe nicht an, Sachverhalte ausserhalb der Jurisdiktion der Vorinstanz in einer Publikationsverfügung zu belassen. Die Vorinstanz mass dem letztgenannten Argument wohl nicht die zentrale Bedeutung zu, welche es zumindest im Rechtsmittelverfahren einnimmt; die Vorinstanz scheint mit der Publikationsverfügung auf eine differenzierte Behandlung von Sachverhalten innerhalb respektive ausserhalb ihrer Jurisdiktion zu verzichten (vgl. hierzu Ziff. 49 f.). Dessen ungeachtet spricht sich die Publikationsverfügung zum Grundsatzentscheid über die Publikation sehr wohl aus (vgl. vorne, E. 1.3.3). Eingangs wird in grundsätzlicher Art festgehalten, weshalb die Vorinstanz eine Publikation für geboten erachtet (Ziff. 20-25). Auch Folgefragen (Schutz der Selbstanzeige als Institut, Verhältnismässigkeit, Geschäftsgeheimnisse, Persönlichkeits-/Reputationsschutz) prüft die Vorinstanz nicht nur im Hinblick darauf, ob oder inwieweit sie den Umfang der Publikation determinieren, sondern auch, ob sie die Publikation an sich in Frage stellen (Ziff. 36, 51, 54, 61). Die (laut Beschwerdeschrift vernachlässigte) Frage nach den zu berücksichtigenden Geschäftsgeheimnissen nimmt in der Verfügung breiten Raum ein, die Vorinstanz kommt zum Schluss, die Publikationsversion enthalte keine (so zu bezeichnenden) Geschäftsgeheimnisse mehr (Ziff. 35); diese stünden einer Publikation also nicht entgegen (Ziff. 36).</w:t>
      </w:r>
    </w:p>
    <w:p>
      <w:r>
        <w:rPr>
          <w:b/>
        </w:rPr>
        <w:t>E. 2.5</w:t>
      </w:r>
    </w:p>
    <w:p>
      <w:r>
        <w:t>Die Publikationsverfügung äussert sich also sehr wohl zur Frage, ob die Sanktionsverfügung (in der Publikationsversion) publiziert werden dürfe. Auch äussert sie sich zum Stellenwert, den diverse Aspekte bei der Prüfung der Publikation und deren Umfang haben. Die in den Augen der Vorinstanz entscheidenden Gesichtspunkte gehen in einer Art aus der Verfügung hervor, welche sowohl der Beschwerdeführerin wie auch der Rechtsmittelinstanz eine Überprüfung erlauben. Das rechtliche Gehör der Beschwerdeführerin ist gewahrt.</w:t>
      </w:r>
    </w:p>
    <w:p>
      <w:r>
        <w:rPr>
          <w:b/>
        </w:rPr>
        <w:t>E. 3.1</w:t>
      </w:r>
    </w:p>
    <w:p>
      <w:r>
        <w:t>Die WEKO untersteht als Behördenkommission und damit Teil der dezentralen Bundesverwaltung (BGE 139 I 72 "Publigroupe" E. 4.3) dem Öffentlichkeitsgesetz (Art. 2 Bst. a BGÖ; Stamm-Pfister, in: Maurer-Lambrou/Blechta (Hrsg.), Basler Kommentar, Datenschutzgesetz und Öffentlichkeitsgesetz ["BSK BGÖ"], N 2 zu Art. 2 BGÖ). Sie ist folglich dem Öffentlichkeitsprinzip und dem diesem zugeordneten Transparenzgebot verpflichtet; dieses bezweckt, das Vertrauen des Bürgers in die staatlichen Institutionen und ihr Funktionieren zu fördern und soll eine wesentliche Voraussetzung für eine sinnvolle demokratische Mitwirkung am politischen Entscheidfindungsprozess und für eine wirksame Kontrolle der Verwaltung sein (BSK BGÖ-Blechta, N 4-6 zu Art. 1 BGÖ). Der Verwirklichung dieser Anliegen dient neben dem im Zentrum des Öffentlichkeitsgesetzes (nicht aber dieses Verfahrens) stehenden Informationszugangsrecht (Art. 6 Abs. 1 BGÖ) auch eine aktive Information durch die Behörden. Art. 21 Bst. b und c BGÖ in Verbindung mit Art. 18 f. der Öffentlichkeitsverordnung (VBGÖ, SR 152.31) hält die Verwaltung an, im Internet über wichtige Aufgabenbereiche und Geschäfte zu informieren sowie wichtige Dokumente aktiv verfügbar zu machen (BSK BGÖ-Blechta, N 13-17 zu Art. 1 BGÖ). Beide Bestimmungen - die allgemeinere Information über wichtige Aufgabebereiche und wichtige Geschäfte wie auch die konkrete Zurverfügungstellung von wichtigen Dokumenten - stehen zwar für eine aktive Informationspolitik, funktional aber dennoch in engem Zusammenhang mit dem Informationszugangsrecht, dessen Erleichterung sie letztlich dienen (BSK BGÖ-Steiger, N 22 f., 34 f. zu Art. 21 BGÖ). Beide Instrumente enthalten keine Pflicht zur lückenlosen Publikation von amtlichen Dokumenten - mit der Einschränkung auf "wichtige" Geschäfte resp. Dokumente wird der Behörde ein Ermessen eingeräumt (BSK BGÖ-Steiger, N 25, 36 zu Art. 21 BGÖ) - und beide stehen unter dem Vorbehalt des angemessenen Aufwandes und entgegenstehender gesetzlicher Bestimmungen (BSK BGÖ-Steiger, N 28 ff., 42 ff. zu Art. 21 BGÖ); insbesondere die Publikation wichtiger Dokumente untersteht einer Interessenabwägung zwischen dem öffentlichen Interesse an der Zugänglichmachung und entgegenstehenden öffentlichen oder privaten Interessen (BSK BGÖ-Steiger, N 45 zu Art. 21 BGÖ). Das Öffentlichkeitsgesetz ist für Verfahren wie das vorliegende insofern von Bedeutung, als es die Philosophie einer transparenten Verwaltungskultur vorgibt. Konkrete Handlungsnormen, welche über die nachstehend geschilderten spezialgesetzlichen Regeln hinausgehen, enthält es dagegen nicht (das Bundesgericht spricht sich aus ähnlichen Überlegungen generell gegen eine Anwendbarkeit des BGÖ für Verfahren wie das vorliegende aus, vgl. BGE 142 II 268 "Nikon AG" E. 4.2.5.2).</w:t>
      </w:r>
    </w:p>
    <w:p>
      <w:r>
        <w:rPr>
          <w:b/>
        </w:rPr>
        <w:t>E. 3.2</w:t>
      </w:r>
    </w:p>
    <w:p>
      <w:r>
        <w:t>Art. 49 Abs. 1 KG verpflichtet die Vorinstanz und deren Sekretariat, die Öffentlichkeit über ihre Tätigkeit zu informieren. Dem breiten Publikum soll ein hinreichender Überblick über die Tätigkeit der Wettbewerbsbehörden ermöglicht werden. Art. 49 Abs. 1 KG verankert das vorstehend (E. 3.1) skizzierte Transparenzgebot im Kartellrecht (Tercier/Martenet, in: Martenet/Bovet/Tercier (Hrsg.), Commentaire Romand, Droit de la Concurrence, 2e éd., ["CR Concurrence"], N 5 zu Art. 49 KG; Nydegger/Nadig, in: Basler Kommentar, Kartellgesetz, ["BK KG"], N 4 zu Art. 49 KG; Urteil des BVGer B-506/2010 "Gaba International AG" vom 19. Dezember 2013, 6.4.2). Gleichsam als lex specialis zu dieser allgemeinen Informationspflicht (BK KG-Nydegger/Nadig, N 9 zu Art. 48 KG) hält Art. 48 Abs. 1 fest, die "Wettbewerbsbehörden können ihre Entscheide veröffentlichen". Es handelt sich um eine "Kann-Vorschrift", es besteht also ein Ermessen; liegt kein hinreichendes Interesse vor, kann von der Veröffentlichung abgesehen werden (Häfelin/Haller/Uhlmann, a.a.O., N 398; BGE 142 II 268 "Nikon AG", E. 4.2.3; CR Concurrence-Tercier/Martinet, N 22 zu Art. 48 KG). Art. 48 Abs. 1 KG unterscheidet sich damit von einzelnen Normen des Kartellgesetzes, welche eine Publikation explizit vorschreiben (Art. 6 Abs. 3, Art. 28 Abs. 1, Art. 33 Abs. 1 KG). Diese Unterscheidung begründet sich mit dem Adressatenkreis einerseits und dem Zweck der Veröffentlichung anderseits. Die zitierten Bestimmungen richten sich an möglicherweise betroffene respektive interessierte Personen, welche innert Frist über mögliches Tätigwerden in einem Verfahren entscheiden sollen (Art. 28 Abs. 1 und Art. 33 Abs. 1 KG) oder aber an Wirtschaftsakteure, welche ihr Verhalten an der ex ante bekanntgemachten Praxis der WEKO sollen ausrichten können (Art. 6 Abs. 3 KG). Die Publikation gemäss Art. 48 Abs. 1 KG demgegenüber hat vorab die Funktion der Information - zuhanden des Publikums, aber auch zuhanden weiterer Behörden, welche das Kartellrecht anwenden (CR Concurrence-Tercier/Martinet, N 1-9 zu Art. 48 KG). Hiervon ausgehend ist das massgebliche Interesse zu bestimmen, welches im Rahmen des gegebenen Ermessens für eine Publikation spricht. Die Publikation von Entscheiden der WEKO hat gemäss bundesgerichtlicher Rechtsprechung (BGE 142 II 268 "Nikon AG", E. 4.2.5 m.w.H.) mehrere Zwecke; konkret dient sie: - der Rechtssicherheit und Prävention: Indem die Öffentlichkeit die Praxis der Wettbewerbsbehörden zur Kenntnis nehmen kann, können Unternehmen ihr Wirtschaften an dieser ausrichten; - der Transparenz der Verwaltungsaktivitäten: Es gilt das allgemein im Öffentlichkeitsgesetz festgehaltene Transparenzgebot umzusetzen. Gleichzeitig soll das Publikum die Möglichkeit erhalten, die seinerzeit publizierte Verfahrenseröffnung mit dem Resultat abgleichen zu können; - der Information über die Praxis der Wettbewerbsbehörden: Adressaten der Praxisinformation sind insbesondere die weiteren das Kartellrecht anwendenden Behörden. Demgegenüber besteht kein öffentliches Interesse an der Publikation in spezialpräventiver Hinsicht oder an einer pönalen Wirkung im Sinne einer Reputationsstrafe (eingehend Urteil B-3588/2012 "Nikon AG" E. 5.3) - dies im Gegensatz etwa zur Publikation aufsichtsrechtlicher Verfügungen gemäss Art. 34 des Finanzmarktaufsichtsgesetzes (FINMAG, SR. 956.1) bei schweren Verletzungen aufsichtsrechtlicher Bestimmungen (Urteile des BGer 2C_929/2010 vom 13. April 2011 E. 5.2.1; 2C_359/2012 vom 1. November 2012 E. 3.2).</w:t>
      </w:r>
    </w:p>
    <w:p>
      <w:r>
        <w:rPr>
          <w:b/>
        </w:rPr>
        <w:t>E. 3.3</w:t>
      </w:r>
    </w:p>
    <w:p>
      <w:r>
        <w:t>Das Bundesgericht erkennt angesichts der übereinstimmenden Zwecke eine Parallelität zwischen der Publikation der Entscheide der WEKO einerseits und jener der Gerichte anderseits (BGE 142 II 268 "Nikon AG" E. 4.2.5.4). Diese Parallelität besteht auch aufgrund einer grundsätzlicheren Überlegung.</w:t>
      </w:r>
    </w:p>
    <w:p>
      <w:r>
        <w:rPr>
          <w:b/>
        </w:rPr>
        <w:t>E. 3.3.1</w:t>
      </w:r>
    </w:p>
    <w:p>
      <w:r>
        <w:t>Die WEKO gilt zwar unbestrittenermassen nicht als Gericht (BGE 139 I 72 "Publigroupe SA" E. 4.3 m.w.H.), den von ihr erlassenen Sanktionen kommt jedoch strafrechtlicher bzw. strafrechtsähnlicher Charakter zu (BGE 139 I 72 "Publigroupe SA" E. 2.2.2 mit Hinweisen insb. auf die Rechtsprechung des EGMR und des EuGH; Urteil des BGer 2C_180/2014 vom 28. Juni 2016 "Colgate Palmolive Europe Sàrl (ehemals Gaba International AG)" E. 2, 9.1). Folgerichtig gelten für das Verfahren im Grundsatz die grundrechtlichen Garantien, welche für ein Strafverfahren gelten (Art. 30 und Art. 32 BV; Art. 6 EMRK; Art. 14 des Internationalen Pakts über bürgerliche und politische Rechte vom 16. Dezember 1966 ["UNO-Pakt II", SR 0.103.2]). Die Rechtsprechung des Bundesgerichts wie auch des Europäischen Gerichtshofs für Menschenrechte lassen zu, dass über Verwaltungssanktionen - und damit auch über solche, wie sie die WEKO ausspricht - in einem Verwaltungsverfahren entschieden wird, sofern die einzelnen Garantien in einem anschliessenden Verwaltungsgerichtsverfahren mit voller Kognition in tatsächlicher und rechtlicher Hinsicht gewahrt sind (BGE 139 I 72 "Publigroupe SA" E. 4.4 f. m.w.H.; Urteil 2C_1065/2014 "Nikon AG" E. 8.2, nicht publ. in BGE 142 II 268; eingehend Urteil des BVGer B-7633/2009 "Swisscom ADSL" vom 14. September 2015 Rz. 58-64; siehe auch Urteil B-506/2010 "Gaba International AG" E. 6.1.3).</w:t>
      </w:r>
    </w:p>
    <w:p>
      <w:r>
        <w:rPr>
          <w:b/>
        </w:rPr>
        <w:t>E. 3.3.2</w:t>
      </w:r>
    </w:p>
    <w:p>
      <w:r>
        <w:t>Die für ein Strafverfahren geltenden Grundrechtsgarantien schliessen mit Wirkung auch für das Kartellverfahren die Unschuldsvermutung mit ein (Art. 6 Abs. 2 EMRK; Art. 32 Abs. 2 BV; Urteil B-506/2010 "Gaba International AG", E. 6.1.3; Zwischenverfügung B-6180/2013 E. 4.3 al. 1). Ihr zufolge gilt jede Person als unschuldig, solange sie nicht in einem rechtmässig durchgeführten Verfahren als schuldig befunden wurde, einen gesetzlich umschriebenen Tatbestand erfüllt zu haben. Neben ihren prozessual bedeutenden Funktionen als Beweislast- und Beweiswürdigungsregel verbietet die Unschuldsvermutung staatlichen Behörden insbesondere, einen Tatverdächtigen vor einem Strafurteil im Rahmen ihrer Informationstätigkeit der Öffentlichkeit als schuldig darzustellen (BGE 137 I 31 E. 5.1; Müller/Schefer, a.a.O., S. 981, 990). Sie verpflichtet staatliche Organe auch mit Blick auf die Presseberichterstattung zu einer sachlichen und zurückhaltenden Information (Urteil B-506/2010 "Gaba International AG", E. 6.1.4; BGE 116 IV 31 E. 5.a.aa/bb; Zwischenverfügung B-6180/2013 E. 4.3 al. 2).</w:t>
      </w:r>
    </w:p>
    <w:p>
      <w:r>
        <w:rPr>
          <w:b/>
        </w:rPr>
        <w:t>E. 3.3.3</w:t>
      </w:r>
    </w:p>
    <w:p>
      <w:r>
        <w:t>Die Partei, über welche die WEKO im Verwaltungsverfahren eine Sanktion ausspricht, hat mit ihrem Entscheid, ob sie diese anficht oder nicht, in der Hand, in den Genuss der ihr zustehenden Verfahrensgarantien zu kommen. Nun gehört zu den grundrechtlichen Garantien in gerichtlichen Verfahren auch das Prinzip der Justizöffentlichkeit und zu diesem wiederum der Teilgehalt der öffentlichen Urteilsverkündung. Die Justizöffentlichkeit im Allgemeinen dient einerseits dem Schutz der betroffenen Partei, indem ihre korrekte Behandlung und gesetzmässige Beurteilung sichergestellt wird, anderseits ermöglicht sie nicht am Verfahren beteiligten Dritten nachzuvollziehen, wie gerichtliche Verfahren geführt, das Recht verwaltet und die Rechtspflege ausgeführt werden. Der Teilgehalt der öffentlichen Urteilsverkündung im Besonderen garantiert, dass nach dem Verfahrensabschluss vom Urteil als Ergebnis des Verfahrens Kenntnis genommen wird. Sie soll Geheimjustiz ausschliessen, Transparenz der Justiztätigkeit im demokratischen Rechtsstaat fördern und Vertrauen in die Rechtspflege schaffen. Im Ausmass der garantierten Justizöffentlichkeit bilden Gerichtsverhandlung und Urteilsverkündung öffentlich zugängliche Quellen im Sinne der Informationsfreiheit gemäss Art. 16 Abs. 3 BV. Mit dieser Funktion im Sinne der Publikums- und Medienöffentlichkeit ist die öffentliche Urteilsverkündung primär für nicht direkt am Verfahren beteiligte Dritte von Bedeutung. Öffentliche Urteilsverkündung bedeutet ursprünglich, dass am Schluss eines gerichtlichen Verfahrens das Urteil in Anwesenheit der Parteien sowie von Publikum und Medienvertretern verkündet wird. Dem Verkündungsgebot dienen aber auch andere Formen, wie etwa öffentliche Auflage, Publikation in amtlichen Sammlungen oder Bekanntgabe über das Internet. Sie sind im Einzelnen anhand von Sinn und Zweck des Verkündungsgebots daraufhin zu beurteilen, ob sie die verfassungsrechtlich gebotene Kenntnisnahme gerichtlicher Urteile erlauben (ausführlich BGE 139 I 129 "ARK" E. 3.3; 137 I 16 "Nef" E. 2.2; 124 IV 234 E. 3e; 143 I 194 "Obergericht Zürich" E. 3.1 und E. 3.4.3; Urteile des BGer 1C_123/2016 vom 21. Juni 2016 "Skeletonbahn" E. 3.5.1, auch in: sic! 2016, 517 ff. sowie MediaLex Newsletter 7/8 2016 resp. Jahrbuch 2016, 97 mit Anmerkung Strebel; und 2C_677/2015 vom 31. März 2016 [=Pra 2016 Nr. 96] "Belarus" E. 4.1; Müller/Schefer, a.a.O., S. 976 ff.; Kley/Tophinke, in: Ehrenzeller/Schweizer/Schindler/Vallender [Hrsg.], Die schweizerische Bundesverfassung, St. Galler Kommentar, 3. Aufl. 2014, N 36 zu Art. 16 BV; Steinmann, ebenda, N 61 f. zu Art. 30 BV).</w:t>
      </w:r>
    </w:p>
    <w:p>
      <w:r>
        <w:rPr>
          <w:b/>
        </w:rPr>
        <w:t>E. 3.3.4</w:t>
      </w:r>
    </w:p>
    <w:p>
      <w:r>
        <w:t>Der Anspruch auf Kenntnisnahme erstreckt sich grundsätzlich auf das ganze Urteil mit Sachverhalt, rechtlichen Erwägungen und Dispositiv (Urteil 1C_123/2016 "Skeletonbahn" E. 3.5.2; siehe auch BGE 142 II 268 "Nikon AG" E. 4.2.6; a.M. Urteil des Obergerichts des Kantons Zürich VB150013 vom 26. April 2016, auch in: Medialex, Newsletter 10/2016 resp. Jahrbuch 2016, 110 mit Anmerkung Strebel). Spiegelbildlich zu diesem Anspruch erscheint eine Urteilsverkündung, welche sich auf das Verlesen des Urteilsspruchs unter Verzicht einer angemessenen Begründung des Dispositives beschränkt, als ungenügend (BGE 143 I 194 "Obergericht Zürich" E. 3.7). Dieser Anspruch (respektive diese Obliegenheit) gilt indessen nicht absolut, er wird durch den ebenfalls verfassungsrechtlich verankerten Schutz von persönlichen und öffentlichen Interessen begrenzt. Der konkrete Umfang ist im Einzelfall unter Abwägung der entgegenstehenden Interessen zu bestimmen. Insbesondere ist der Persönlichkeitsschutz der Prozessparteien zu wahren, weshalb die Kenntnisgabe von Urteilen unter dem Vorbehalt der Anonymisierung, der Abdeckung einzelner Passagen und allenfalls der Bereitstellung "in geeignet gekürzter Form" steht (BGE 133 I 106 E. 8.3; vgl. BGE 142 II 268 "Nikon AG" E. 4.2.6; 139 I 129 "ARK" E. 3.6; 137 I 16 "Nef" E. 2.3; 134 I 286 "VgT" E. 6.3); der Aufwand etwa für die Anonymisierung ist kein massgeblicher Gesichtspunkt (Urteil 1C_123/2016 "Skeletonbahn" E. 3.7). Zu wahren bleibt gleichzeitig die Verständlichkeit des Entscheides, so dass im Einzelfall nicht ausgeschlossen werden kann, dass für Personen, die mit den Einzelheiten eines Falles vertraut sind, Rückschlüsse möglich sind und sie insbesondere erkennen können, um wen es geht (BGE 133 I 106 E. 8.3; Urteil 2C_677/2015 "Belarus" E. 4.2 al. 2, dazu kritisch Müller, Pra 2016, S. 888; vgl. auch Urteil des EGMR Bacchini gegen Schweiz vom 21. Juni 2005, Nr. 62915/00, auch in: VPB 2005/69.133 E. 1). Eine vollständige Geheimhaltung eines Urteilsspruchs jedenfalls ist auch bei Vorliegen gewichtigster Interessen mit dem Öffentlichkeitsgebot nicht vereinbar (BGE 143 I 194 "Obergericht Zürich" E. 3.4.3 m.w.H. insb. auf die Rechtsprechung der Konventionsorgane).</w:t>
      </w:r>
    </w:p>
    <w:p>
      <w:r>
        <w:rPr>
          <w:b/>
        </w:rPr>
        <w:t>E. 3.3.5</w:t>
      </w:r>
    </w:p>
    <w:p>
      <w:r>
        <w:t>Alternativformen zur öffentlichen Verkündung sind nicht subsidiär, sondern gegenüber dieser gleichwertig. Das gilt unter dem Aspekt der Verkündung insbesondere auch für den Strafbefehl, mag auch Art. 69 Abs. 2 StPO ein Interesse-Erfordernis formulieren (Steinmann, St. Galler Kommentar, N 64 zu Art. 30 BV; zur konkreten Gewichtung der Interessen vgl. die zitierten BGE 134 I 286 "VgT" E. 6.6 f.; 137 I 16 "Nef" E. 2.4 f). Es gibt keine vor- oder zweitrangige Formen der Urteilspublikation, die verschiedenen Arten können kombiniert werden (Urteil 2C_677/2015 "Belarus" E. 4.1 al. 2 zit. gem. Pra 2016 Nr. 96).</w:t>
      </w:r>
    </w:p>
    <w:p>
      <w:r>
        <w:rPr>
          <w:b/>
        </w:rPr>
        <w:t>E. 3.3.6</w:t>
      </w:r>
    </w:p>
    <w:p>
      <w:r>
        <w:t>Nun ist der mündlichen Eröffnung von anfechtbaren Urteilen durch untere Instanzen offenkundig inhärent, dass über Entscheide informiert wird, welche nicht rechtskräftig sind. Sind die Verkündungsformen einander gleichwertig, so folgt daraus, dass die fehlende Rechtskraft einer Publikation auch in einer Alternativform nicht grundsätzlich entgegen steht - jedoch ist gegebenenfalls eine einzelfallspezifische Abwägung (unter Vornahme der Einzelfallabwägung der je im Raume stehenden Interessen und namentlich unter dem Vorbehalt der Anonymisierung) vorzunehmen. Die im Kartellverfahren grundsätzlich geltende Unschuldsvermutung steht somit der Publikation eines noch nicht rechtskräftigen Entscheides nicht entgegen, sie gebietet jedoch eine gewisse Zurückhaltung (vorne, E. 3.3.2; Urteile 1C_123/2016 "Skeletonbahn" E. 3.6 und 2C_1065/2014 "Nikon AG" E. 8, insb. E. 8.4.1, nicht publ. in BGE 142 II 268; Urteil B-506/2010 "Gaba International AG", E. 6.1, 6.4.2; Zwischenverfügung B-6180/2013 E. 4.3 al. 3; Steinmann, St. Galler Kommentar, N 66 zu Art. 30 BV). Zumal unterinstanzliche Urteile stets unter dem Vorbehalt des Erfolgs eines Rechtsmittels stehen, gelten diese Grundsätze nicht nur für nicht rechtskräftige, sondern auch für Urteile, die aufgehoben wurden oder deren Streitgegenstand im Verlauf gegenstandslos wird (Urteile 2C_677/2015 "Belarus" E. 4.3 al. 2 und 1C_123/2016 "Skeletonbahn" E. 3.8).</w:t>
      </w:r>
    </w:p>
    <w:p>
      <w:r>
        <w:rPr>
          <w:b/>
        </w:rPr>
        <w:t>E. 3.4</w:t>
      </w:r>
    </w:p>
    <w:p>
      <w:r>
        <w:t>Liegt eine Ermessensnorm vor, so steht der Behörde zwar ein Spielraum für ihre Entscheidung offen; dabei ist sie aber an die Verfassung gebunden, insbesondere an die Grundrechte und die Grundsätze staatlichen Verhaltens (Art. 5 BV). Staatliches Handeln soll im öffentlichen Interesse liegen und verhältnismässig sein (Art. 5 Abs. 2 BV), es soll nicht nur rechtmässig, sondern auch angemessen sein (Häfelin/Müller/Uhlmann, a.a.O., N 409; BVGE 2015/2 E. 4.3.1). Als Ermessensfehler unterscheiden Lehre und Rechtsprechung (Häfelin/Müller/Uhlmann, a.a.O., N. 430 ff. m.w.H.) die Unangemessenheit (bei der sich der Entscheid innerhalb des Spielraums bewegt, zweckmässigerweise aber anders ausgefallen wäre), den Ermessensmissbrauch (bei dem der Spielraum eingehalten wird, der Entscheid aber von unsachlichen, zweckfremden Kriterien geleitet ist oder unter Verstoss gegen allgemeine Rechtsprinzipien wie das Willkürverbot, die Rechtsgleichheit oder den Grundsatz der Verhältnismässigkeit erfolgt), die Ermessensüberschreitung (bei welcher Ermessen wahrgenommen wird, ohne dass ein solches bestünde) und die Ermessensunterschreitung (bei der die Behörde auf ein ihr zustehendes Ermessen von vornherein verzichtet). Mit Ausnahme der Unangemessenheit handelt es sich um Rechtsverletzungen. Das Bundesverwaltungsgericht beurteilt die angefochtene Verfügung mit voller Kognition, kann somit sowohl Rechtsanwendung wie auch die Angemessenheit prüfen (vorne, E. 1.7). Es ist auch verpflichtet, seine Kognition auszuschöpfen, auferlegt sich jedoch bei der Prüfung der Unangemessenheit je nach der Natur der Streitfrage eine gewisse Zurückhaltung, so insbesondere bei technischen Fragen, für deren Beantwortung die verfügende Behörde aufgrund ihres Spezialwissens besser geeignet ist oder bei Auslegungsfragen, welche die Verwaltungsbehörde aufgrund ihrer Nähe zur Angelegenheit sachgerechter zu beantworten vermag (für einen Überblick vgl. Rhinow et al, Öffentliches Prozessrecht, 2. Aufl. 2010, Rz. 1598 ff.; Moser/Beusch/Kneubühler, a.a.O., Rz. 2.153 ff.).</w:t>
      </w:r>
    </w:p>
    <w:p>
      <w:r>
        <w:rPr>
          <w:b/>
        </w:rPr>
        <w:t>E. 3.5</w:t>
      </w:r>
    </w:p>
    <w:p>
      <w:r>
        <w:t>Verstösst die Handhabung des Ermessens gegen den Grundsatz der Verhältnismässigkeit, so ist einer derjenigen Grundsätze verletzt, welche die Annahme eines Ermessenssmissbrauchs rechtfertigen (BGE 142 II 268 "Nikon AG" E. 4.2.3; BGE 137 V 71 E. 5.1). Der Verhältnismässigkeitsgrundsatz gebietet somit insbesondere die Bindung des Verwaltungshandelns an die Zweckbestimmung der Ermessenseinräumung (Moor/Flückiger/Martenet, Droit administratif, 3e éd. 2012, vol. I, S. 743). Der auf Art. 5 Abs. 2 BV abgestützte Grundsatz der Verhältnismässigkeit fordert in einer allgemeinen Umschreibung, dass eine Verwaltungsmassnahme zur Verwirklichung des im öffentlichen Interesse liegenden Ziels geeignet, notwendig und zumutbar sein soll (Häfelin/Müller/Uhlmann, a.a.O, Rz. 514 m.w.H.). Das Kriterium der Eignung verpflichtet das Verwaltungshandeln auf die Erreichung des anvisierten öffentlichen Interesses (definiert die "Präzision staatlichen Handelns" [Häfelin/Müller/Uhlmann, a.a.O, Rz. 522]). Die Erforderlichkeit gebietet, eine Massnahme so zu bemessen, dass der angestrebte Zweck nicht auch mit einer milderen Massnahme erreicht werden könnte ("Intensität staatlichen Handelns" [Häfelin/Müller/Uhlmann, a.a.O, Rz. 522]). Die Zumutbarkeit schliesslich ist - in einer wertenden Abwägung - zu bejahen, wenn der angestrebte Zweck in einem vernünftigen Verhältnis zu den dem Privaten auferlegten Belastungen oder bewirkten Eingriff steht - die Massnahme muss durch ein das private Interesse überwiegendes öffentliches Interesse gerechtfertigt sein (Häfelin/Müller/Uhlmann, a.a.O, Rz. 556 f.).</w:t>
      </w:r>
    </w:p>
    <w:p>
      <w:r>
        <w:rPr>
          <w:b/>
        </w:rPr>
        <w:t>E. 3.6</w:t>
      </w:r>
    </w:p>
    <w:p>
      <w:r>
        <w:t>Die Veröffentlichungen der Wettbewerbsbehörden dürfen keine Geschäftsgeheimnisse preisgeben (Art. 25 Abs. 4 KG). Kein Geschäftsgeheimnis sind von vornherein die Angaben, welche gemäss Art. 28 KG mit der Eröffnung der Untersuchung zwingend zu publizieren sind: die Adressaten der Untersuchung und deren Gegenstand - verstanden als eine Umschreibung des kartellrechtswidrigen Verhaltens, welche Dritten zu entscheiden erlaubt, ob sie sich gestützt auf Art. 43 KG an der Untersuchung beteiligen wollen (BGE 142 II 268 "Nikon AG" E. 5.1). Für eine positive Begriffsumschreibung kann auf den traditionellen Geheimnisbegriff zurückgegriffen werden, wie er auch zu anderen Normen gebräuchlich ist, welche diesen Begriff enthalten (im Detail BGE 142 II 268 "Nikon AG" E. 5.2.1). Demgemäss gilt als Geschäftsgeheimnis eine (1.) weder offenkundige noch allgemein zugängliche Tatsache (relative Unbekanntheit), die (2.) der Geheimnisherr tatsächlich geheim halten will (Geheimhaltungswille) und (3.) an deren Geheimhaltung der Geheimnisherr ein berechtigtes Geheimhaltungsinteresse (objektives Geheimhaltungsinteresse) hat. Zur Bejahung des letztgenannten Kriteriums ist zu klären, ob die Information objektiv gesehen als geheimhaltungswürdig anzusehen ist. Die Rechtsprechung hat die kontroverse Frage, ob dies für rechtswidrige Handlungen und Zustände bejaht werden kann, für das Kartellrecht dahingehend beantwortet, dass jene Tatsachen, welche ein kartellrechtswidriges Verhalten belegen, nicht geheimhaltungswürdig seien. Denn aus kartellrechtlicher Optik - so das Bundesgericht - schützt das Geheimhaltungsinteresse die Erhaltung der Wettbewerbsfähigkeit einzelner Unternehmen und gleichzeitig den Wettbewerb als solchen. Basiert ein Wettbewerbsvorteil auf kartellrechtswidrigen Handlungen, so kann nicht Sinn einer Regelung des Kartellrechts sein, diese Informationen, welche das Kartellrecht verpönt, gleichzeitig unter Schutz zu stellen (BGE 142 II 268 "Nikon AG" E. 5.2.2 m.w.H.).</w:t>
      </w:r>
    </w:p>
    <w:p>
      <w:r>
        <w:rPr>
          <w:b/>
        </w:rPr>
        <w:t>E. 3.7</w:t>
      </w:r>
    </w:p>
    <w:p>
      <w:r>
        <w:t>Die Tätigkeit der WEKO untersteht dem Datenschutzgesetz (DSG, SR 235.1). Sie hat sich an die Grundsätze der Art. 4, 5 und 7 DSG zu halten - unter anderem und insbesondere darf die Datenbearbeitung nur rechtmässig, nach Treu und Glauben und verhältnismässig erfolgen (Art. 4 Abs. 1-3 DSG), hat sich die Vorinstanz über die Richtigkeit der Daten zu vergewissern (Art. 5 Abs. 1 DSG) und um deren Sicherheit besorgt zu sein (Art. 7 Abs. 1 DSG; ausführlich BGE 142 II 268 "Nikon AG", E. 6.1-6.3 m.w.H.). Die Veröffentlichung einer Sanktionsverfügung ist als ein Bekanntgeben von (besonders schützenswerten ([Art. 3 Bst. c Ziff. 4 DSG]) Personendaten i.S.v. Art. 19 DSG zu qualifizieren. Sie bedarf einer gesetzlichen Grundlage (Art. 17 i.V.m. Art. 19 Abs. 1 DSG). Selbst bei deren Bestehen ist die Bekanntgabe (also Veröffentlichung) abzulehnen, wenn wesentliche öffentliche oder offensichtlich schutzwürdige Interessen einer betroffenen Person es verlangen (Art. 19 Abs. 4 DSG) - es erfolgt somit eine Interessenabwägung (BGE 142 II 268 "Nikon AG", E. 6.4.1 m.w.H.). Art. 48 KG stellt eine hinreichende gesetzliche Grundlage für die Bekanntgabe von Personendaten dar. Für Personendaten, welche Geschäftsgeheimnisse darstellen, hat das Kartellgesetz selbst in Art. 25 Abs. 4 KG die Sonderregel aufgestellt, dass diese generell, ohne Vornahme einer Interessenabwägung, nicht publiziert werden dürfen. Die Publikation von Personendaten ausserhalb des Begriffs des Geschäftsgeheimnisses untersteht demgegenüber der Abwägung gemäss Art. 19 Abs. 4 DSG (BGE 142 II 268 "Nikon AG", E. 6.4.2 f.; Urteile des BVGer A-6315/2014, A-6320/2014 und A-6334/2014 je vom 23. August 2016, je E. 12.1).</w:t>
      </w:r>
    </w:p>
    <w:p>
      <w:r>
        <w:rPr>
          <w:b/>
        </w:rPr>
        <w:t>E. 3.8</w:t>
      </w:r>
    </w:p>
    <w:p>
      <w:r>
        <w:t>In Verfahren, die durch Selbstanzeigen massgeblich getragen sind, berücksichtigt die Vorinstanz im höheren Interesse eines funktionierenden Systems zur Aufdeckung von Kartellen das Interesse am Schutz des Instituts der Selbstanzeige resp. der sogenannten Bonusregel. Sie beruft sich denn auch in der Publikationsverfügung (Ziff. 59) ausdrücklich auf dieses Interesse, das sie klar von den privaten Interessen der Parteien unterschieden wissen will. Die Vorinstanz ist sich im Klaren, dass ein Unternehmen, welches eine Selbstanzeige erwägt, ein hohes Interesse an Diskretion betreffend die Weitergabe von Informationen an Behörden, Gerichte, Branchenteilnehmer aber auch Parteien in Zivilprozessen hat. Die Anreizwirkung der Selbstanzeige hängt gemäss ihren Ausführungen in einem Entscheid aus dem Jahr 2011 von der Berechenbarkeit der Folgen ab - sowohl direkt bezüglich der Sanktionsreduktion wie auch indirekt bezüglich der möglichen Spätfolgen, insbesondere Schadenersatzprozesse. Um den Anreiz aufrecht zu erhalten, Selbstanzeigen - Informationen wie auch Beweismittel - vorzubringen, sieht sich die Vorinstanz einem "schonungsvollen Umfang mit den [...] freiwillig offengelegten Informationen und Unterlagen" verpflichtet (Zwischenverfügung der WEKO vom 10. August 2011 i.S. 22-0385: Wettbewerbsabreden im Strassen- und Tiefbau im Kanton Aargau, RPW 2012, 264 ff., Ziff. 22 ff., insb. 24; vgl. Merkblatt und Formular des Sekretariats der WEKO, Bonusregelung (Selbstanzeige), 8. September 2014, BBl 2015 3346 ff., Ziff. 47 ff.).</w:t>
      </w:r>
    </w:p>
    <w:p>
      <w:r>
        <w:rPr>
          <w:b/>
        </w:rPr>
        <w:t>E. 3.9</w:t>
      </w:r>
    </w:p>
    <w:p>
      <w:r>
        <w:t>Bereits in der angefochtenen Verfügung (Rz. 25) verweist die Vorinstanz auf die Praxis der Kartellbehörden der Europäischen Union, wenngleich diese nicht bindend sei. Das schweizerische Kartellrecht orientiert sich seit der Totalrevision des Kartellgesetzes im Jahr 1995 zwar ausdrücklich, aber doch vorab rechtsvergleichend und mit Ausnahmevorbehalt, am Wettbewerbsrecht der Europäischen Union (vgl. eingehend und mit Nachweisen Urteil B-7633/2009 "Swisscom ADSL", Rz. 167 ff.). Mit dem Abkommen zwischen der Schweizerischen Eidgenossenschaft und der Europäischen Union über die Zusammenarbeit bei der Anwendung ihres Wettbewerbsrechts vom 17. Mai 2013 (SR 0.251.268.1) besteht nun (aber noch nicht im Zeitpunkt der angefochtenen Verfügung) eine rechtliche Grundlage für eine engere Zusammenarbeit zwischen der WEKO und der Wettbewerbsbehörde der Europäischen Kommission. Im Zusammenhang mit der Genehmigung dieses Abkommens stellte der Bundesrat klar, dass die Wettbewerbsrechte der Schweiz und der EU zwar materiell vergleichbar seien, aus rechtlich verbindlicher Warte aber nach wie vor von Äquivalenz der wettbewerbsrechtlichen Bestimmungen der Schweiz wie auch der Europäischen Union auszugehen sei, also keine materielle Harmonisierung des Rechts bestehe oder Inhalt des Abkommens sei (vgl. Art. 13 des Abkommens sowie die Botschaft, BBl 2013 3961, 3964, 3965 f., 3978). Auch für die vom Abkommen geregelten verfahrensrechtlichen Fragen hält die Botschaft fest, dass das Abkommen einen rechtlichen Rahmen für die angestrebte Zusammenarbeit (namentlich die gegenseitige Mitteilung und Koordination von Vollzugsmassnahmen und der Austausch von Informationen) schaffe, diese aber nicht obligatorisch erklärt werde; das Ermessen der jeweiligen Behörde werde durch das Abkommen nicht eingeschränkt (Botschaft, BBl 2013 3960 f., 3966). Die Rechtslage in der Europäischen Union zur Publikation der Entscheide der Wettbewerbsbehörde weicht von der schweizerischen insofern ab, als die anwendbare Rechtsgrundlage der Kommission kein Ermessen einräumt. Art. 30 ("Veröffentlichung von Entscheidungen") der Verordnung (EG) Nr. 1/2003 des Rates vom 16. Dezember 2002 zur Durchführung der in den Artikeln 81 und 82 des Vertrags ("VO 1/2003") niedergelegten Wettbewerbsregeln lautet (mit Ausnahme der Verweise gleich dem früher in Kraft stehenden Art. 21 der Verordnung Nr. 17, Erste Durchführungsverordnung zu den Artikeln 85 und 86 des Vertrages vom 6. Februar 1962): (1) Die Kommission veröffentlicht die Entscheidungen, die sie nach den Artikeln 7 bis 10 sowie den Artikeln 23 und 24 erlässt. (2) Die Veröffentlichung erfolgt unter Angabe der Beteiligten und des wesentlichen Inhalts der Entscheidung einschließlich der verhängten Sanktionen. Sie muss dem berechtigten Interesse der Unternehmen an der Wahrung ihrer Geschäftsgeheimnisse Rechnung tragen. Zusammengefasst arbeiten die Wettbewerbsbehörden der Schweiz und der Europäischen Union voneinander unabhängig; das Handeln der beiden Behörden fusst auf zwar ähnlichen, aber doch nicht gleichen, Grundlagen und verpflichtet die je andere Behörde nicht. Verweise auf das Publikationsverhalten der Wettbewerbsbehörde der Europäischen Kommission (Sachverhalt, Bst. D) sind insgesamt von rechtsvergleichendem Interesse, verbindliche Erkenntnisse ergeben sich daraus nicht.</w:t>
      </w:r>
    </w:p>
    <w:p>
      <w:r>
        <w:rPr>
          <w:b/>
        </w:rPr>
        <w:t>E. 4.1</w:t>
      </w:r>
    </w:p>
    <w:p>
      <w:r>
        <w:t>Wie erwähnt, handelt es sich bei Art. 48 Abs. 1 KG um eine Ermessensnorm. Das Ermessen muss pflichtgemäss wahrgenommen werden, insbesondere muss es verhältnismässig und folglich zweckgerichtet sein. Verwaltungshandeln, das sich auf diese Norm abstützt, muss erforderlich sein, um die angestrebten Zwecke zu erfüllen und dieser Zweckverfolgung in der mildesten Vorgehensweise genügen; schliesslich muss in einer wertenden Gesamtabwägung von öffentlichem Zweck und Eingriff in die Interessen der Beschwerdeführerin ein vernünftiges Verhältnis resultieren (vorne, E. 3.4 und 3.5). Die Ermessensausübung erfolgt unabhängig von der Publikationspraxis der Europäischen Kommission (vorne, E. 3.9).</w:t>
      </w:r>
    </w:p>
    <w:p>
      <w:r>
        <w:rPr>
          <w:b/>
        </w:rPr>
        <w:t>E. 4.2</w:t>
      </w:r>
    </w:p>
    <w:p>
      <w:r>
        <w:t>Den vorstehend (E. 3.2) dargestellten Zwecken dient eine Veröffentlichung der Sanktionsverfügung im Grundsatz. Dies gilt insbesondere mit Blick darauf, dass für die Untersuchungsverfahren der WEKO die grund- und konventionsrechtlichen Garantien eines Strafverfahrens gelten - und damit auch der Aspekt der Justizöffentlichkeit im Allgemeinen und des Verkündungsgebotes im Besonderen zu beachten sind (vorstehend, E. 3.3). Es handelt sich hierbei um Verfahrensgarantien, die nur zum Teil zugunsten der verfahrensbetroffenen Partei, vor allem aber im Interesse der Öffentlichkeit wirken. Vor diesem Hintergrund ist im Grundsatz möglich, den Entscheid ungeachtet der noch nicht eingetretenen Rechtskraft und ohne jede Prognose über die Aussichten eines Rechtsmittels zu publizieren (vorne, E. 3.3.6).</w:t>
      </w:r>
    </w:p>
    <w:p>
      <w:r>
        <w:rPr>
          <w:b/>
        </w:rPr>
        <w:t>E. 4.3</w:t>
      </w:r>
    </w:p>
    <w:p>
      <w:r>
        <w:t>Im Grundsatz ist sodann der Entscheid selbst - mit Sachverhalt, Erwägungen und Dispositiv - zu veröffentlichen (vorstehend, E. 3.3.4). Das Interesse an der Orientierung des Publikums vermöchte eine kurze und alleinige Zusammenfassung nicht befriedigend zu erfüllen. Zwar könnten so die Leitlinien in übersichtlicher und lesbarer Form vermittelt werden. Die Kenntnis der Argumentation der WEKO ist indessen für das Fachpublikum wichtig, um sich mit dieser auseinandersetzen zu können. Als Adressaten verstehen sich neben Akteuren der Wirtschaft insbesondere die weiteren rechtsanwendenden Behörden, aber auch die Rechts- und Wirtschaftswissenschaft. Die Ausführungen der Vorinstanz zu den anwendbaren Rechtsnormen (vgl. nachstehend, E. 5.2) beispielsweise können mit einer Zusammenfassung nicht genügend abgebildet werden. Zu berücksichtigen ist in diesem Zusammenhang auch, dass das der Sanktionsverfügung vorangegangene Verfahren nicht publikumsöffentlich war, was dem Öffentlichkeitsgebot im Verkündungsstadium ein erhöhtes Gewicht verleiht (vgl. mit Blick auf das Strafverfahren BGE 143 I 194 "Obergericht Zürich" E. 3.1 Abs. 2 a.E.). Weder eine Zusammenfassung in der Gestalt beispielsweise des Presserohstoffes (oder eines Fallberichts, wie sie durch das deutsche Bundeskartellamt regelmässig [neben den förmlichen Entscheiden] publiziert werden) noch eine bloss summarische Publikation (wie sie die Europäische Kommission im Parallelverfahren in einem ersten Schritt vornahm) könnte insgesamt den verfolgten Interessen gerecht werden. Nicht relevant ist entgegen der Auffassung der Vorinstanz der Umfang, also die Seitenzahl, der Sanktionsverfügung.</w:t>
      </w:r>
    </w:p>
    <w:p>
      <w:r>
        <w:rPr>
          <w:b/>
        </w:rPr>
        <w:t>E. 4.4</w:t>
      </w:r>
    </w:p>
    <w:p>
      <w:r>
        <w:t>Damit kann die Vorinstanz die Sanktionsverfügung veröffentlichen. Die Veröffentlichung soll im Grundsatz vollständig erfolgen, sie hat jedoch auf die rechtmässig der Beschwerdeführerin zustehenden Einschränkungen Rücksicht zu nehmen (BGE 142 II 268 "Nikon AG", E. 4.2.6), das sind namentlich der Schutz von Geschäftsgeheimnissen (Art. 25 Abs. 4 KG, vorstehend E. 3.6), aber auch die gebotene Rücksichtnahme auf schutzwürdige persönliche Interessen der Beschwerdeführerin (vorne, E. 3.3.4 und, zu Art. 19 Abs. 4 DSG, E. 3.7). Die Erstgenannten sind absolut zu schützen, die Zweitgenannten in einem Umfang, der aufgrund einer Verhältnismässigkeitsprüfung festzulegen ist (vorne, E. 3.7). Zu erinnern ist auch daran, dass der Effekt einer Reputationsstrafe nicht zu den verfolgten Zwecken gehört (E. 3.2).</w:t>
      </w:r>
    </w:p>
    <w:p>
      <w:r>
        <w:rPr>
          <w:b/>
        </w:rPr>
        <w:t>E. 5</w:t>
      </w:r>
    </w:p>
    <w:p>
      <w:r>
        <w:t>Die Beschwerdeführerin macht als entgegenstehende Interessen namentlich den Schutz vor Zivilklagen in ausländischen Jurisdiktionen geltend und deutete einen Bezug zum Anliegen des Schutzes der Selbstanzeige als Institut an.</w:t>
      </w:r>
    </w:p>
    <w:p>
      <w:r>
        <w:rPr>
          <w:b/>
        </w:rPr>
        <w:t>E. 5.1</w:t>
      </w:r>
    </w:p>
    <w:p>
      <w:r>
        <w:t>Das Bundesgericht hat im Entscheid "Nikon AG" (Urteil 2C_1065/2014 E. 5.3.3, 6.5.2, nicht publ. in BGE 142 II 268) deutlich gemacht, dass die Hauptsache - verstanden als die Frage, ob ein kartellrechtswidriger Sachverhalt vorliegt und ob deshalb zu Recht eine Sanktion ausgesprochen wurde - im Rahmen der Anfechtung einer Publikationsverfügung nicht materiell zu prüfen sei, auch nicht unter dem Titel des Reputationsschutzes. Das gilt auch für dieses Verfahren: Angefochten ist die Publikationsverfügung und es ist dies nicht der Ort, über die materielle Begründetheit der Sanktionsverfügung zu urteilen. Überlegungen über den Einfluss des Urteils des EuG im Parallelverfahren auf die beim Bundesverwaltungsgericht hängigen Beschwerdeverfahren gegen die Sanktionsverfügung sind mangels rechtlicher Verbindlichkeit dieses Urteils für die schweizerischen Behörden und Gerichte (vorne, E. 3.9) rein spekulativer Natur. Das gilt unabhängig davon, dass die Beschwerdeführerin die Sanktionsverfügung gar nicht angefochten hat.</w:t>
      </w:r>
    </w:p>
    <w:p>
      <w:r>
        <w:rPr>
          <w:b/>
        </w:rPr>
        <w:t>E. 5.2</w:t>
      </w:r>
    </w:p>
    <w:p>
      <w:r>
        <w:t>Angesichts der Argumentation der Beschwerdeführerin ist gleichwohl ein Blick auf die Sanktionsverfügung zu richten.</w:t>
      </w:r>
    </w:p>
    <w:p>
      <w:r>
        <w:rPr>
          <w:b/>
        </w:rPr>
        <w:t>E. 5.2.1</w:t>
      </w:r>
    </w:p>
    <w:p>
      <w:r>
        <w:t>Mit der Sanktionsverfügung wurde den Sanktionierten - u.a. der Beschwerdeführerin - untersagt, sich über Preise etc. abzusprechen, "soweit dies durch entsprechende Luftverkehrsabkommen nicht ausdrücklich erlaubt ist" (oder eine Freistellung vorliegt). Die Parteien wurden "für das in den Erwägungen beschriebene Verhalten" in unterschiedlicher Höhe mit Sanktionen belastet. Die Vorinstanz hatte in der Würdigung des von ihr umfassend untersuchten, internationalen Marktes der Luftfracht die Geltung des Kartellgesetzes, des EU-Luftverkehrsabkommens und diverser Abkommen mit Einzelstaaten (darunter solche mit EU-Staaten vor Inkrafttreten des genannten Abkommens am 1. Juni 2002 resp. - im Falle der Tschechischen Republik - vor dem Beitritt zur EU am 1. Mai 2004 als auch solche mit Nicht-EU-Staaten) zu koordinieren. Die Vorinstanz ging zusammengefasst von folgender Situation aus (vgl. Presserohstoff, S. 3 f.): - Mit Inkrafttreten des EU-Luftverkehrsabkommens am 1. Juni 2002 sei die Schweiz im Bereich des Luftverkehrs in die EU teilintegriert. Das habe einerseits zur Folge, dass die wettbewerbsrechtliche Beurteilung des Luftverkehrs zwischen der Schweiz und EU-Staaten den Behörden der EU obliege [...]. Anderseits sei die Schweiz verpflichtet, für Strecken mit Drittstaaten die Wettbewerbsregeln der EU zu übernehmen; das schweizerische Kartellrecht bleibe gleichzeitig anwendbar, dem EU-Recht komme der Vorrang zu [...]; - Abkommen mit Drittstaaten (und mit EU-Staaten vor Inkrafttreten des EU-Luftverkehrsabkommens) sähen zum Teil die Möglichkeit zur Tarifkoordination vor. Im Geltungsbereich solcher Abkommen seien Preisabsprachen zulässig [...]; - Für die schweizerische Kartellbehörde blieben somit unter den untersuchten Verhaltensweisen solche relevant, die sich auf die Strecken zwischen der Schweiz auf der einen Seite und den USA, Singapur, der Tschechischen Republik, Pakistan und Vietnam auf der anderen Seite auswirkten [...]; - Verhaltensweisen vor dem 1. Juni 2002 seien zwar überprüfbar, aber ohne weitere Folge, insbesondere ohne solche für das Dispositiv [...].</w:t>
      </w:r>
    </w:p>
    <w:p>
      <w:r>
        <w:rPr>
          <w:b/>
        </w:rPr>
        <w:t>E. 5.2.2</w:t>
      </w:r>
    </w:p>
    <w:p>
      <w:r>
        <w:t>Die Feststellungen des rechtserheblichen Sachverhaltes sind auf einen globalen Fokus gerichtet: Bereits in den einleitenden Bemerkungen geht die Vorinstanz von globaler Geltung der untersuchten Vereinbarungen aus [...], in der Folge werden die Vereinbarungen und Kontakte teils auf einer Zeitlinie [...], teils geographisch, mit Fokus auf den Markt, von dem aus Absprachen getroffen wurden [...] dargestellt; im Falle der Treibstoffzuschläge wird die geographisch zentrierte Schilderung als Ergänzung "im Sinne eines weltweiten Kontextes" begründet, "selbst wenn einige lokale Kontakte allenfalls durch Luftverkehrsabkommen zwischen der Schweiz und anderen Ländern abgedeckt sein sollten, ist die Darstellung für die Fragestellung des weltweiten Kontextes relevant" [...]. Ergänzt wird die Darstellung durch einen Abschnitt über "Kontakte unter Wettbewerbern auf Stufe Hauptquartier" [...].</w:t>
      </w:r>
    </w:p>
    <w:p>
      <w:r>
        <w:rPr>
          <w:b/>
        </w:rPr>
        <w:t>E. 5.2.3</w:t>
      </w:r>
    </w:p>
    <w:p>
      <w:r>
        <w:t>Die Subsumption im Rahmen der rechtlichen Überlegungen erfolgte zuerst ebenfalls mit globalem Fokus: In einem ersten Schritt gelangte die Vorinstanz zur Auffassung, es liege ein Verstoss zweier Gruppen von Unternehmen gegen Art. 8 Abs. 1 des EU-Luftverkehrsabkommens in der Form einer einzigen und fortdauernden Zuwiderhandlung vor [...]. In einem zweiten Schritt prüfte und bejahte sie das Vorliegen einer Wettbewerbsabrede im Sinne von Art. 4 Abs. 1 KG in der Form einer Gesamtabrede [...], und nahm sodann im Sinne einer Eventualbegründung eine Überprüfung von Einzelabreden - bezogen auf die einzelnen Formen von Tarifabsprachen - vor [...] und bejahte diese, teils für einen weltweiten [...], teils für einen "internationalen, aber nicht weltweiten" Kontext (da nur auf gewissen Strecken relevant, soweit erkennbar aber nicht deckungsgleich mit den genannten fünf Streckenpaaren, [resp.] da nur für die USA relevant [...]). Sie schloss diesen Teil mit einer Übersicht, welche Gesellschaft an welchen Abreden beteiligt gewesen sei [...]. Erst mit der Prüfung, ob die Wettbewerbsabreden zu einer Beseitigung des wirksamen Wettbewerbs führten, verengte sich der Fokus auf die fünf Streckenpaare (zwischen der Schweiz einerseits, den USA, Singapur, der Tschechischen Republik [bis Mai 2004], Pakistan und Vietnam anderseits), welche Grundlage für Verbot und Sanktion sind [...].</w:t>
      </w:r>
    </w:p>
    <w:p>
      <w:r>
        <w:rPr>
          <w:b/>
        </w:rPr>
        <w:t>E. 5.2.4</w:t>
      </w:r>
    </w:p>
    <w:p>
      <w:r>
        <w:t>Es sind lediglich Verhaltensweisen mit Bezug auf diese Streckenpaare und ab dem 1. Juni 2002, welche einen Einfluss auf das Dispositiv haben. Im Sachverhalt ist indessen ein Netzwerk von Absprachen und Kontakten geschildert, ohne dass die konkreten Strecken isoliert wären und auch die rechtlichen Erwägungen gehen initial von diesem Denkansatz aus. Für die Belange der Redaktion der Sanktionsverfügung ist dies nicht zu beanstanden: Geht die Vorinstanz davon aus, die letztlich sanktionierten Abreden über eine Teilmenge des Marktes seien eingebettet in den Gesamtmarkt erfolgt, so hat sie dies auch so zu schildern und nicht vorzuschützen, man habe sich nur bezüglich einzelner Strecken abgesprochen.</w:t>
      </w:r>
    </w:p>
    <w:p>
      <w:r>
        <w:rPr>
          <w:b/>
        </w:rPr>
        <w:t>E. 5.3</w:t>
      </w:r>
    </w:p>
    <w:p>
      <w:r>
        <w:t>Die Vorinstanz hält dafür, ihre Sachverhaltsdarstellung sei unschädlich, da die Selbstanzeigerinnen (und damit auch die Beschwerdeführerin) anonymisiert seien, die Sanktionsverfügung nicht rechtskräftig sei und damit als Klagegrundlage nicht tauge und bezüglich der fraglichen Verbindungen (soweit sie nicht der Jurisdiktion der Europäischen Kommission unterstünden) gerade die Rechtmässigkeit festgestellt werde. Damit greift die Vor-instanz in mehrfacher Hinsicht zu kurz:</w:t>
      </w:r>
    </w:p>
    <w:p>
      <w:r>
        <w:rPr>
          <w:b/>
        </w:rPr>
        <w:t>E. 5.3.1</w:t>
      </w:r>
    </w:p>
    <w:p>
      <w:r>
        <w:t>Die Vorinstanz bezeichnet Tarifabsprachen auf Luftfrachtbeziehungen ausserhalb der mehrfach erwähnten fünf Streckenpaare in Auslegung des Landes- und Staatsvertragsrechts als zulässig, soweit sie zuständig zu deren Beurteilung war (vorne, E. 5.2). Damit beurteilt sie die Rechtswidrigkeit resp. Rechtmässigkeit des untersuchten Verhaltens anhand des Kartellrechts und des EU-Luftverkehrsabkommens aus der Optik der schweizerischen Wettbewerbsbehörde - nicht weniger, aber auch nicht mehr. Es ist nun aber weder klar, dass in einem allfälligen Zivilprozess einzig das für die Schweiz anwendbare Kartellrecht als Grundlage der Widerrechtlichkeit angerufen wird, noch, dass sich ein ausländisches Zivilgericht an die Beurteilung der Vorinstanz gebunden sieht. Es steht auch nicht fest, dass ein solches die anwendbaren Regelungen in dieselbe Rangfolge stellt wie die Vorinstanz, sofern es für seine Rechtsordnung Normkonflikte analog dem vorliegenden feststellt. Die Bezeichnung dieser Verhaltensweisen ausserhalb der besagten fünf Streckenpaare als rechtmässig hängt einzig von diesem Entscheid zum anwendbaren Recht ab (vorne, E. 5.2.1). Soweit die Vorinstanz die Abreden und Verhaltensweisen deshalb nicht beurteilte, weil nicht sie selbst (sondern die Wettbewerbsbehörde der Europäischen Union) zuständig sei, traf die Vorinstanz gerade keine Feststellung, dass die geschilderten Abreden und Verhaltensweisen legal gewesen seien. Auch wäre der Sanktionsverfügung nicht zu entnehmen, die mit globalem resp. internationalem Fokus getroffenen Feststellungen beträfen Strecken zwischen der Schweiz und der EU nicht. Schliesslich betrachtete die Vorinstanz nur einen Teil der nach ihrem Bekunden über 140 Luftverkehrsabkommen, welche die Schweiz geschlossen hat, (nämlich deren 33) als für dieses Verfahren relevant (Sanktionsverfügung, Ziff. 934 und Anhang 1). Es kann nicht ernsthaft ausgeschlossen werden, dass die als global geschilderten Verhaltensweisen auch zwischen zwei ausländischen Nationen eine Rolle spielen oder zwischen der Schweiz und einer Nation, die Vertragspartei eines der übrigen über 100 Abkommen ist und deren Behörden die Verkehrsbeziehung, anders als die Vorinstanz, sehr wohl als relevant einstufen.</w:t>
      </w:r>
    </w:p>
    <w:p>
      <w:r>
        <w:rPr>
          <w:b/>
        </w:rPr>
        <w:t>E. 5.3.2</w:t>
      </w:r>
    </w:p>
    <w:p>
      <w:r>
        <w:t>Die Anonymisierung beschränkt sich auf die Selbstanzeigerinnen und auf Angaben, welche diese einschliessen, insbesondere solche, die von "allen" Parteien sprechen. Allerdings ist nicht nur mit der Mitteilung zur Verfahrenseröffnung (BBl 2006 2707 [Bundesblatt vom 7. März 2006]) bekannt, wer von der Untersuchung betroffen ist, sondern mit Medienmitteilung und Presserohstoff auch, um wen es sich bei den Selbstanzeigerinnen handelte und wer sanktioniert wurde. Mit dieser von der Vorinstanz öffentlich gemachten Hintergrundinformation erweist sich die Anonymisierung an einigen Stellen als einfach durchschaubar. Bereits als nicht mit der Branche Vertrauter ist man in der Lage, diverse geschwärzte "alle" sprachlich zu rekonstruieren [...]. Die nur teilweise Anonymisierung führt dazu, dass Passagen wie "Einzig [Name] führte bis im Mai 2002 keine Treibstoffzuschläge ein" [...] eine Aussage darüber ablegen, wer dies eben doch tat. Mit etwas Insiderwissen - etwa dem über die Mitglieder beim X._______ - können etwa in [...] die adressierten Mitglieder ergänzt werden oder dürfte bekannt sein, was unter "Y._______"-Gruppe verstanden wird. Es liegt auf der Hand, dass mit zunehmendem Insider-Wissen der Anteil rekonstruierbarer Informationen ansteigt, ebenso, dass potentielle Schadenersatzkläger überwiegend mit der Branche vertraut sein und somit über eben solches Wissen verfügen dürften. Erfahrungsgemäss ist kaum eine Anonymisierung insofern vollständig, als ausgeschlossen werden kann, dass ein Leser mit Hintergrundwissen auf die Parteien rückschliessen kann. In gewissem Ausmass ist das zu dulden (vgl. vorne, E. 3.3.4). Die Problematik des vorliegenden Falles weicht indessen von der gängigen Problemlage ab: Üblicherweise gilt es mit der Anonymisierung zu vermeiden, dass eine nicht allgemein bekannte Person einem beurteilten Sachverhalt zugeordnet werden kann. Hier jedoch sind die Parteien seit Verfahrenseröffnung namentlich bekannt und es weiss durch Medienmitteilung und Presserohstoff auch jede und jeder Interessierte, welche Gesellschaften sanktioniert wurden und welche von einem Nachlass infolge Selbstanzeige profitieren konnten. Nachdem die Rechtsprechung Sachverhalten den Status als Geschäftsgeheimnis verwehrt hat, für welche eine Sanktion ausgesprochen wurde (BGE 142 II 268 "Nikon AG" E. 5.2.2. m.w.H.; vgl. vorne, E. 3.6) ist dies für diese Sachverhalte hinzunehmen - soweit weiteren persönlichen Interessen nicht aufgrund einer Interessenabwägung Vorrang einzuräumen ist. Problematisch ist vorliegend, dass die Sachverhaltsschilderung und weite Strecken der rechtlichen Würdigung die Zuordnung der Parteien (und damit der Beschwerdeführerin) zu einem ganzen Sachverhaltskomplex mit sich bringt, der (obwohl für einen Teil der Rechtsgrundlagen als widerrechtlich erklärt) nicht Grundlage für eine Sanktion war. Aus der Optik der Entscheidredaktion ist das, wie gesagt (E. 5.2.4), nicht zu beanstanden.</w:t>
      </w:r>
    </w:p>
    <w:p>
      <w:r>
        <w:rPr>
          <w:b/>
        </w:rPr>
        <w:t>E. 5.3.3</w:t>
      </w:r>
    </w:p>
    <w:p>
      <w:r>
        <w:t>Die Beschwerdeführerin kann damit aber - des Versuches der Anonymisierung zum Trotz - mit Abreden in Verbindung gebracht werden, die nach der Auffassung der Vorinstanz in teils globalem, teils internationalem Kontext abgeschlossen worden und zumindest nach dem EU-Luftverkehrsabkommen und dem Kartellgesetz als illegal einzustufen seien. Sie ist damit in allen in Frage stehendenden Konstellationen in ihrem Interesse am Schutz ihrer Persönlichkeit betroffen: - Soweit die Sach- und Rechtslage geprüft wurde und das Vorgehen als legal eingestuft wurde, besteht nach wie vor die Feststellung, dass ein Verstoss gegen EU-Luftverkehrsabkommen und Kartellgesetz vorliegt (was nur - aber immerhin - wegen des so entschiedenen Normenkonfliktes mit widersprechenden Staatsverträgen doch zugunsten der Beschwerdeführerin entschieden wurde); - Soweit die Sach- und Rechtslage mangels Zuständigkeit nicht geprüft wurde, besteht eine Schilderung und rechtliche Würdigung mit globalem Kontext, die für den bedeutsamen Markt Schweiz-EU einen Verstoss gegen EU-Luftverkehrsabkommen und Kartellgesetz insinuiert; - Soweit die Sach- und Rechtslage geprüft und das Vorgehen als illegal eingestuft wurde, kann die Beschwerdeführerin zwar nicht den Schutz der Informationen als Geschäftsgeheimnis für sich beanspruchen. Indessen bringt die Natur der hier beurteilten Sache mit sich, dass Schilderungen bezüglich dieser Strecken in der Sachverhaltsschilderung nicht isoliert vorkommen, vorkommen können und auch nicht als isoliert zu fingieren sind.</w:t>
      </w:r>
    </w:p>
    <w:p>
      <w:r>
        <w:rPr>
          <w:b/>
        </w:rPr>
        <w:t>E. 5.3.4</w:t>
      </w:r>
    </w:p>
    <w:p>
      <w:r>
        <w:t>Die Beschwerdeführerin sieht sich mit einer Schilderung von als global gesehen widerrechtlich bezeichnetem Verhalten konfrontiert, wird aber nur für eine geringe Teilmenge des geschilderten Verhaltens sanktioniert. Ihre Persönlichkeitsrechte sind somit weitgehend durch eine Darstellung betroffen, welche mit dem Dispositiv nicht korrespondiert. Die Feststellungen zu den Abreden, welche sanktioniert wurden, sind mit den darüber hinausgehenden, untrennbar verknüpft; d.h. die Schilderung des sanktionsrelevanten Sachverhalts bringt diejenige des überschiessenden Teiles mit sich (vorne, E. 5.2.4).</w:t>
      </w:r>
    </w:p>
    <w:p>
      <w:r>
        <w:rPr>
          <w:b/>
        </w:rPr>
        <w:t>E. 5.4</w:t>
      </w:r>
    </w:p>
    <w:p>
      <w:r>
        <w:t>Der Vorinstanz ist darin zuzustimmen, dass die Frage, welche Strecken ihrer Beurteilung entzogen sind, zu den wesentlichen Fragen des Entscheides gehört (Vernehmlassung, Ziff. 10): Kommt sie zum Schluss, dass Verkehrsbeziehungen zwischen der Schweiz und der EU nicht in ihren Zuständigkeitsbereich fallen, so hat sie sich selbstredend dazu zu äussern. Diese Festlegung erfordert jedoch weder eine Feststellung des Sachverhaltes noch eine Darstellung, die darauf schliessen lässt, das nicht beurteilte Verhalten werde als rechtswidrig erachtet. Auf eine solche Auffassung lässt in der gegebenen Fassung der Publikationsversion die Sanktionsverfügung jedoch schliessen (E. 5.3.3, 2. Spiegelstrich). Dabei könnte die Vor-instanz nach ihrer eigenen Auffassung hierzu eine Sanktionierung gar nicht aussprechen - und entzieht sich diese Darstellung damit gerichtlicher Kontrolle (vgl. Urteil des EuG vom 12. Oktober 2007 T-474/04 Pergan Hilfsstoffe für industrielle Prozesse GmbH/Kommission der Europäischen Gemeinschaften, Rz. 76 ff.). Eine rechtskräftige Sanktionierung durch die Europäische Kommission ist bis dato nicht erfolgt (vorne, Bst. D). Eine Information der Öffentlichkeit in dieser Form lässt für den Bereich der Verkehrsbeziehungen mit Staaten der Europäischen Union die gebotene Zurückhaltung vermissen (vgl. vorne, E. 3.3.2 und E. 3.3.6).</w:t>
      </w:r>
    </w:p>
    <w:p>
      <w:r>
        <w:rPr>
          <w:b/>
        </w:rPr>
        <w:t>E. 5.5</w:t>
      </w:r>
    </w:p>
    <w:p>
      <w:r>
        <w:t>Wie erheblich die Risiken von Zivilprozessen aufgrund der Sanktionsverfügung wären, ist hier nicht abschliessend zu beurteilen. Die Annahme der Vorinstanz jedenfalls, ihre Verfügung tauge vor Eintritt der Rechtskraft nicht als Grundlage eines Zivilprozesses (Vernehmlassung, Ziff. 12), verkennt die internationale Tragweite des Sachverhalts, auf die sich die Beschwerdeführerin bezieht. Anders als in der von der Vorinstanz zitierten Rechtsprechung (Zwischenverfügung B-6180/2013 E. 4.2) kann von einem ausländischen Gericht nicht zwingend erwartet werden, es warte den rechtskräftigen, materiellen Entscheid bezüglich der Sanktionsverfügung als vorab zu entscheidende Vorfrage ab. Zudem bestehen Risiken in Zivilprozessen nicht nur darin, dass mit einer rechtskräftigen Verfügung eine rechtswidrige Verhaltensweise rechtskräftig festgestellt wäre - denn zum einen geht es gar nicht (nur) um rechtskraftfähige Sachverhalte, sondern um Passagen, die über die erforderliche Würdigung des sanktionsrelevanten Sachverhalts hinausgehen, zum andern kann eine zuordenbare Sachverhaltsschilderung Grundlage für zivilprozessuale Instrumente bieten, die dem schweizerischen Zivilprozess fremd sind (pretrial discovery u.dgl.). Für einen potentiellen Kläger liegt gerade auch aufgrund diverser Bezugnahmen der Sanktionsverfügung auf die Selbstanzeigen (bspw. Ziff. 207, Einleitungssatz) nahe, dass allfällige Belege jedenfalls bei den Selbstanzeigerinnen auffindbar sein dürften. Dieses Risiko hätte die Beschwerdeführerin für jene Geschäftsbereiche, welche sanktioniert wurden, zu gewärtigen; für die überschiessenden Feststellungen ist diese Belastung erheblich und in ihrem Interesse zu gewichten. In diesem Zusammenhang ist daran zu erinnern, dass das Prozessrisiko auch unter dem Aspekt des Schutzes der Selbstanzeige als Institut ein relevanter Faktor ist (vgl. vorne, E. 3.8). Gerade wenn die Berechenbarkeit von Prozessrisiken als schützenswerter Aspekt bei der Entschlussfassung über eine Selbstanzeige gilt, kann nicht angehen, Selbstanzeigerinnen prozessualen Risiken auszusetzen, die ihren Ursprung in nicht sanktionierten und nicht sanktionierbaren Verhaltensweisen haben.</w:t>
      </w:r>
    </w:p>
    <w:p>
      <w:r>
        <w:rPr>
          <w:b/>
        </w:rPr>
        <w:t>E. 6.1</w:t>
      </w:r>
    </w:p>
    <w:p>
      <w:r>
        <w:t>In ihrer Summe halten die mit der Publikation verbundenen Beeinträchtigungen dem Gebot der Verhältnismässigkeit (vorne, E. 3.5) nicht stand. Die Eignung der Publikation zur Zweckerreichung steht zwar ausser Frage (vorne, E. 4). Die entgegenstehenden Interessen (E. 5) - sowohl die Beeinträchtigungen ihrer Persönlichkeit, welche die Beschwerdeführerin bei einer Publikation in dieser Form hinzunehmen hat, wie auch das Interesse am Schutz der Selbstanzeige als Institut - stehen aber in keinem vernünftigen Verhältnis zur Zweckerreichung und es handelt sich auch nicht um die mildest mögliche - im Sinne der am geringsten in die Interessen der Partei eingreifende - Massnahme. Mit der Verletzung des Grundsatzes der Verhältnismässigkeit liegt ein Ermessensmissbrauch und damit eine Rechtsverletzung vor (vorstehend, E. 3.4 f.).</w:t>
      </w:r>
    </w:p>
    <w:p>
      <w:r>
        <w:rPr>
          <w:b/>
        </w:rPr>
        <w:t>E. 6.2</w:t>
      </w:r>
    </w:p>
    <w:p>
      <w:r>
        <w:t>In der angefochtenen Form kann die Verfügung vom 2. Dezember 2013 nicht publiziert werden. Die Publikationsversion ist so zu modifizieren, dass sich die Beschwerdeführerin nicht mit einer Darstellung konfrontiert sieht, welche sie bezüglich anderer Strecken als den fünf sanktionierten Streckenpaaren in zuordenbarer Weise mit kartellrechtlich verpönten Verhaltensweisen in Bezug bringt. Neben den eigentlichen Geschäftsgeheimnissen im engeren Sinne (vorne, E. 3.6 und E. 3.7 Abs. 2) besteht somit ein weiterer Schwärzungstatbestand bezüglich Sachverhaltsfeststellungen und rechtlicher Festlegungen, welche zum Entscheiddispositiv nicht beitragen - eigentlicher obiter dicta also.</w:t>
      </w:r>
    </w:p>
    <w:p>
      <w:r>
        <w:rPr>
          <w:b/>
        </w:rPr>
        <w:t>E. 6.3</w:t>
      </w:r>
    </w:p>
    <w:p>
      <w:r>
        <w:t>Als besondere Schwierigkeit erscheint, dass diese Strecken in der Sachverhaltsschilderung nicht gesondert erfasst sind, d.h. die Sachverhaltsdarstellung bezüglich dieser Verhaltensweisen ist mit dem als global geschilderten Sachverhalt untrennbar verknüpft. Daran dürfte eine weitergehende Anonymisierung wenig ändern. Zudem ist bereits beim teilweise anonymisierten Sachverhalt die Verständlichkeit prekär. Mit einer weitergehenden Anonymisierung dürfte der Text zu grossen Teilen unverständlich werden und die Publikation entsprechender Passagen keinem der anvisierten Ziele mehr gerecht werden. Es sind somit bezüglich der integralen Publikation Abstriche zu machen, um die berechtigten Interessen der Beschwerdeführerin zu berücksichtigen. In Frage kommen neben der zu verwerfenden alleinigen weitergehenden Anonymisierung die Erstellung einer Zusammenfassung, eine Kürzung oder Kombinationsformen (vorne, E. 3.3.4 und 3.3.5). Mit Blick auf das gewichtige Interesse der Öffentlichkeit, allgemeine und verallgemeinerungsfähige Abschnitte der Begründung im Originalwortlaut zu Kenntnis nehmen zu können, aber auch auf das Anliegen der Verständlichkeit, ist die Publikation in einer Kombinationsform ins Auge zu fassen</w:t>
      </w:r>
    </w:p>
    <w:p>
      <w:r>
        <w:rPr>
          <w:b/>
        </w:rPr>
        <w:t>E. 6.4</w:t>
      </w:r>
    </w:p>
    <w:p>
      <w:r>
        <w:t>Es ist folglich eine Version zu erstellen, in der die integral zu publizierenden Passagen der Sanktionsverfügung (E. 6.3) im Originalwortlaut zu publizieren sind. Passagen, deren Veröffentlichung die Beschwerdeführerin nicht dulden muss (E. 6.2), sind für eine zu erstellende Publikationsversion zu kürzen, zu paraphrasieren oder wegzulassen (soweit für das Verständnis des Entscheides nicht von Belang). Sicherzustellen ist die Verständlichkeit der zu erstellenden Publikationsversion für den Leser. Zu modifizieren ist somit namentlich der Sachverhalt, soweit nicht allgemeine rechtliche Erwägungen zur Sachverhaltsfeststellung (Abschn. A.4.1) und (unter der Voraussetzung der Anonymisierung) neutrale Hintergrundinformationen, insbesondere die Beschreibung der Eigenarten des Luftfrachtmarktes (Abschn. A.4.2), geschildert werden. Unter den rechtlichen Erwägungen sind die Abschnitte, welche sich zu den anwendbaren Bestimmungen äussern (Abschn. B.1 und B.2) weitgehend unproblematisch. In den folgenden Abschnitten über die Subsumption der Sachverhalte unter die anwendbaren Normen (Abschn. B.3), die Sanktionsbemessung (Abschn. B.4) und die Kosten (Abschn. C.1) erscheinen Passagen mit allgemeiner Sichtweise als unproblematisch, soweit sichergestellt ist, dass die Beschwerdeführerin nicht im vorstehend umschriebenen Sinne mit globalen, jedenfalls die fünf sanktionierenden Strecken überschiessenden, Absprachen direkt in Bezug gesetzt werden kann (namentlich und ohne Anspruch auf Vollständigkeit: [...]).</w:t>
      </w:r>
    </w:p>
    <w:p>
      <w:r>
        <w:rPr>
          <w:b/>
        </w:rPr>
        <w:t>E. 7</w:t>
      </w:r>
    </w:p>
    <w:p>
      <w:r>
        <w:t>Im Regelfall soll das Bundesverwaltungsgericht in der Sache selbst entscheiden und nur ausnahmsweise die Angelegenheit (mit verbindlichen Weisungen) an die Vorinstanz zurückweisen (Art. 61 Abs. 1 VwVG). Die angefochtene Publikationsverfügung ist nach dem Gesagten (soeben, E. 6) aufzuheben. Die Publikationsverfügung wie auch eine Publikationsversion sind neu zu erstellen. Dabei sind in Ausübung pflichtgemässen Ermessens weitgehende Anonymisierungen, Paraphrasierungen, allenfalls auch Kürzungen oder Weglassungen vorzunehmen. Die Vorinstanz, welche die Untersuchung führte und aus deren Feder die Sanktionsverfügung wie auch die darauf aufbauende Publikationsversion stammen, ist die sachkundigere Behörde, diese Modifikationen des Textes so vorzunehmen, dass dessen Verständlichkeit gewahrt bleibt. Auch angesichts dessen, dass nach ihrem Bekunden vorliegend eigentliche Grundsatzfragen zu klären sind, ist einerseits der Vorinstanz die entsprechende Umsetzung zu ermöglichen, der Beschwerdeführerin anderseits die Möglichkeit offenzuhalten, einen solchen Entscheid wiederum vor einem Gericht mit voller Kognition anzufechten (vgl. Weissenberger/Hirzel, in: Waldmann/Weissenberger (Hrsg.), Praxiskommentar VwVG, 2. Aufl. 2016, N. 17 zu Art. 61 VwVG; Kiener/Rütsche/Kuhn, a.a.O., N 1647, 1650; Camprubi, in: Auer/Müller/Schindler (Hrsg.), Kommentar zum Bundesgesetz über das Verwaltungsverfahren (VwVG), 2008, N. 11 f. zu Art. 61 VwVG; Moser/Beusch/Kneubühler, a.a.O., N. 3.193 ff., insb. 3.195).</w:t>
      </w:r>
    </w:p>
    <w:p>
      <w:r>
        <w:rPr>
          <w:b/>
        </w:rPr>
        <w:t>E. 8</w:t>
      </w:r>
    </w:p>
    <w:p>
      <w:r>
        <w:t>Die Angelegenheit ist nach alledem an die Vorinstanz zurückzuweisen. Sie hat eine neue Publikationsversion zu erstellen, die den einander entgegenstehenden Interessen (vorstehend, E. 4, 5 und 6.4) gerecht wird und gegebenenfalls i.S.v. Art. 25a VwVG über eine neue Fassung der Publikationsverfügung mit Publikationsversion zu entscheiden.</w:t>
      </w:r>
    </w:p>
    <w:p>
      <w:r>
        <w:rPr>
          <w:b/>
        </w:rPr>
        <w:t>E. 9.1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(Urteil des BVGer A-3763/2011 vom 3. Juli 2012 E. 14.1, m.w.H.). Vorinstanzen werden keine Verfahrenskosten auferlegt (Art. 63 Abs. 2 VwVG).</w:t>
      </w:r>
    </w:p>
    <w:p>
      <w:r>
        <w:rPr>
          <w:b/>
        </w:rPr>
        <w:t>E. 9.2</w:t>
      </w:r>
    </w:p>
    <w:p>
      <w:r>
        <w:t>Die Beschwerdeführerin unterliegt mit ihrem Hauptbegehren - dem Untersagen einer Publikation der Sanktionsverfügung im Grundsatz - obsiegt im vorstehend geschilderten Sinne mit dem Eventualantrag. Teilweises Unterliegen bringt eine Reduktion der der Beschwerdeführerin aufzuerlegenden Verfahrenskosten mit sich. Grundsätzlich ist dabei auf das Verhältnis von Obsiegen zu Unterliegen abzustellen (Maillard, in: Waldmann/Weissenberger (Hrsg.), Praxiskommentar VwVG, 2. Aufl. 2016, N. 14 zu Art. 63 VwVG; Kiener/Rütsche/Kuhn, a.a.O., N 1673; Beusch, in Auer/Müller/Schindler (Hrsg.), Kommentar zum Bundesgesetz über das Verwaltungsverfahren (VwVG), 2008, N. 11, 13. zu Art. 63 VwVG). Das Verhältnis von Unterliegen und Obsiegen ist vorliegend nicht quantifizierbar, weshalb im Sinne eines pragmatischen Schematismus' von je hälftigem Obsiegen und Unterliegen ausgegangen wird. Die Gerichtsgebühr wird festgesetzt auf Fr. 1'500.- (Art. 3 lit. b des Reglements über die Kosten und Entschädigungen vor dem Bundesverwaltungsgericht, SR 173.320.2, VGKE) und der Beschwerdeführerin folglich im Umfang von 50 %, also Fr. 750.-, auferlegt. Der Betrag wird dem von der Beschwerdeführerin geleisteten Vorschuss von Fr. 1'500.- entnommen. Die restanzlichen Fr. 750.- des Vorschusses sind ihr nach Eintritt der Rechtskraft zurückzuerstatten.</w:t>
      </w:r>
    </w:p>
    <w:p>
      <w:r>
        <w:rPr>
          <w:b/>
        </w:rPr>
        <w:t>E. 9.3</w:t>
      </w:r>
    </w:p>
    <w:p>
      <w:r>
        <w:t>Obsiegende Parteien haben Anspruch auf eine Parteientschädigung für die ihnen erwachsenen notwendigen Kosten (Art. 64 Abs. 1 VwVG; Art. 7 Abs. 1 VGKE). Die Parteientschädigung umfasst die Kosten der Vertretung sowie allfällige weitere notwendige Auslagen der Partei (Art. 8 VGKE). Soweit eine Parteientschädigung nicht einer unterliegenden Gegenpartei auferlegt werden kann, wird sie der Körperschaft oder autonomen Anstalt auferlegt, in deren Namen die Vorinstanz verfügt hat (Art. 64 Abs. 2 VwVG). Die Berücksichtigung des Ausmasses von Obsiegen und Unterliegen verhält sich analog zur Bemessung der Gerichtsgebühr (Maillard, a.a.O. N 17 zu Art. 64 VwVG). Die Beschwerdeführerin ist anwaltlich vertreten und obsiegt hälftig. Ihr ist daher eine reduzierte Parteientschädigung für die ihr entstandenen notwendigen Kosten zuzusprechen. Da der Rechtsvertreter keine Kostennote eingereicht hat, ist die Parteientschädigung aufgrund der Akten festzusetzen (Art. 14 Abs. 2 Satz 2 VGKE). Eine Parteientschädigung in der Höhe von Fr. 4'500.- (inkl. Auslagen; Art. 9 Abs. 1 Bst. a und b VGKE)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