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B-581/2012 vom 16. September 2016</w:t>
      </w:r>
    </w:p>
    <w:p>
      <w:r>
        <w:t>Bundesverwaltungsgericht, 2016-09-16, DE</w:t>
      </w:r>
    </w:p>
    <w:p>
      <w:r>
        <w:rPr>
          <w:b/>
        </w:rPr>
        <w:t xml:space="preserve">Quelle: </w:t>
      </w:r>
      <w:r>
        <w:t>https://mcp.opencaselaw.ch/entscheid/bvger_B-581_2012</w:t>
      </w:r>
    </w:p>
    <w:p>
      <w:r>
        <w:t>FR: TAF B-581/2012 du 16 septembre 2016</w:t>
      </w:r>
    </w:p>
    <w:p>
      <w:r>
        <w:t>IT: TAF B-581/2012 del 16 settembre 2016</w:t>
      </w:r>
    </w:p>
    <w:p>
      <w:pPr>
        <w:pStyle w:val="Heading2"/>
      </w:pPr>
      <w:r>
        <w:t>Regeste</w:t>
      </w:r>
    </w:p>
    <w:p>
      <w:r>
        <w:t>Unzulässige Wettbewerbsabreden</w:t>
      </w:r>
    </w:p>
    <w:p>
      <w:pPr>
        <w:pStyle w:val="Heading2"/>
      </w:pPr>
      <w:r>
        <w:t>Erwägungen</w:t>
      </w:r>
    </w:p>
    <w:p>
      <w:r>
        <w:rPr>
          <w:b/>
        </w:rPr>
        <w:t>E. 10</w:t>
      </w:r>
    </w:p>
    <w:p>
      <w:r>
        <w:t>Ergebnis Zusammenfassend ist in teilweiser Gutheissung der Beschwerde Dispositivziffer 1 der angefochtenen Verfügung aufzuheben; Dispositivziffer 2 der angefochtenen Verfügung ist abzuändern und der Sanktionsbetrag auf [rund 12 Mio. Fr.] zu reduzieren; im Übrigen ist die Beschwerde abzuweisen bzw. die angefochtene Verfügung zu bestätigen. Soweit die Beschwerdeführerin die Einstellung der vorinstanzlichen Untersuchung gefordert hat (Antrag Ziff. 2), eventualiter die Rückweisung zur Einstellung (Antrag Ziff. 3), sind die entsprechenden Anträge zusammen mit den Rechtsbegehren in der Hauptsache abzuweisen, soweit darauf einzutreten ist.</w:t>
      </w:r>
    </w:p>
    <w:p>
      <w:r>
        <w:rPr>
          <w:b/>
        </w:rPr>
        <w:t>E. 11</w:t>
      </w:r>
    </w:p>
    <w:p>
      <w:r>
        <w:t>Veröffentlichung Mit Entscheid vom 15. Oktober 2014 hat das Bundesverwaltungsgericht die von der Beschwerdeführerin gegen die Verfügung der Vorinstanz vom 4. Juni 2012 betreffend die Publikation der angefochtenen Sanktionsverfügung erhobene Beschwerde teilweise gutgeheissen, soweit sich die Beschwerde auf die Veröffentlichung von Erwägungen der Vorinstanz zum unternehmensinternen Projekt "Clean-up" sowie auf das Programm "Swiss Garantie" bezog (nicht Gegenstand des vorliegenden Beschwerdeverfahrens); im Übrigen wurde die Beschwerde abgewiesen (u.a. in Bezug auf die Veröffentlichung von Auszügen aus der Firmenkorrespondenz: B-3588/2012, E. 8.3 f.). Mit Urteil vom 26. Mai 2016 hat das Bundesgericht diesen Entscheid bestätigt (2C_1065/2014). Im vorliegenden Verfahren hat die Beschwerdeführerin keine Geschäftsgeheimnisse im Sinne von Art. 25 Abs. 4 KG bezeichnet (s.o., E. 2.4). Auf Informationen von Verfahrensbeteiligten, welche vorinstanzlich als Geschäftsgeheimnisse deklarierten wurden, wird im vorliegenden Urteil nicht abgestellt, mit Ausnahme der vorinstanzlichen Verfahrenskosten, der Sanktionshöhe sowie der Parallelimportquote bei Produkten der Beschwerdeführerin. Ein Geheimhaltungsinteresse der Beschwerdeführerin ist diesbezüglich nicht erkennbar (vgl. BGer, 2C_1065/2014, E. 5.2 f.), zumal die Sanktionshöhe zwar Rückschlüsse zulässt auf den Umsatz der Beschwerdeführerin, der entsprechende Betrag den Medien und der Öffentlichkeit aber bereits vorinstanzlich (gerundet) mitgeteilt wurde (Medienmitteilung vom 15. Dezember 2011); die genannten Importquoten wiederum entstammen einem länger zurückliegenden und im vorliegenden Urteil nicht weiter spezifizierten Zeitraum (vgl. E. 6.5.7). Im Übrigen ist in Bezug auf sämtliche Angaben von einem Veröffentlichungsinteresse auszugehen (vgl. BGer, 2C_1065/2014, E. 4.2; BVGer, B-3588/2012, E. 5.1, 6.4).</w:t>
      </w:r>
    </w:p>
    <w:p>
      <w:r>
        <w:rPr>
          <w:b/>
        </w:rPr>
        <w:t>E. 12</w:t>
      </w:r>
    </w:p>
    <w:p>
      <w:r>
        <w:t>Kosten und Entschädigung Die Beschwerdeinstanz auferlegt die Verfahrenskosten in der Regel der unterliegenden Partei nach Massgabe ihres Unterliegens (Art. 63 Abs. 1 VwVG; vgl. BGE 132 II 47, E. 3.3; BVGer, B-7633/2009, 14. September 2015, Swisscom ADSL, Rz. 802, m.w.H.). Die Spruchgebühr richtet sich nach Umfang und Schwierigkeit der Streitsache, Art der Prozessführung und finanzieller Lage der Parteien; sie beträgt in vermögensrechtlichen Streitigkeiten maximal Fr. 50'000.- (Art. 63 Abs. 4bis Bst. b VwVG). Art. 4 des Reglements des Bundesverwaltungsgerichts vom 21. Februar 2008 über die Kosten und Entschädigungen vor dem Bundesverwaltungsgericht (VGKE, SR 173.320.2) sieht bei vermögensrechtlichen Streitigkeiten mit einem Streitwert von über 5 Mio. Fr. eine Gerichtsgebühr von Fr. 15'000.- bis Fr. 50'000.- vor. Angesichts der angefochtenen Sanktion in der Höhe von rund 12.5 Mio. Fr., des grossen Aktenumfangs und ausgedehnten zweitinstanzlichen Schriftenwechsels erscheint es gerechtfertigt, die Gerichtsgebühr auf Fr. 50'000.- festzusetzen. Da die Beschwerdeführerin lediglich im Sanktionspunkt in verhältnismässig geringem Umfang teilweise obsiegt und im Hauptpunkt sowie in den übrigen Punkten unterliegt, erscheint es gerechtfertigt, ihr die Kosten vollumfänglich aufzuerlegen. Die Beschwerdeinstanz kann der ganz oder teilweise obsiegenden Partei von Amtes wegen oder auf Begehren eine Entschädigung für ihr erwachsene notwendige und verhältnismässig hohe Kosten zusprechen (Art. 64 Abs. 1 VwVG). Darauf ist vorliegend aus den genannten Gründen zu verzichten. Der vorinstanzliche Kostenspruch ist unverändert zu belassen.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