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B-5780/2009 vom 12. Januar 2010</w:t>
      </w:r>
    </w:p>
    <w:p>
      <w:r>
        <w:t>Bundesverwaltungsgericht, 2010-01-12, FR</w:t>
      </w:r>
    </w:p>
    <w:p>
      <w:r>
        <w:rPr>
          <w:b/>
        </w:rPr>
        <w:t xml:space="preserve">Quelle: </w:t>
      </w:r>
      <w:r>
        <w:t>https://mcp.opencaselaw.ch/entscheid/bvger_B-5780_2009</w:t>
      </w:r>
    </w:p>
    <w:p>
      <w:r>
        <w:t>FR: TAF B-5780/2009 du 12 janvier 2010</w:t>
      </w:r>
    </w:p>
    <w:p>
      <w:r>
        <w:t>IT: TAF B-5780/2009 del 12 gennaio 2010</w:t>
      </w:r>
    </w:p>
    <w:p>
      <w:pPr>
        <w:pStyle w:val="Heading2"/>
      </w:pPr>
      <w:r>
        <w:t>Regeste</w:t>
      </w:r>
    </w:p>
    <w:p>
      <w:r>
        <w:t>Opposition</w:t>
      </w:r>
    </w:p>
    <w:p>
      <w:pPr>
        <w:pStyle w:val="Heading2"/>
      </w:pPr>
      <w:r>
        <w:t>Erwägungen</w:t>
      </w:r>
    </w:p>
    <w:p>
      <w:r>
        <w:rPr>
          <w:b/>
        </w:rPr>
        <w:t>E. 1</w:t>
      </w:r>
    </w:p>
    <w:p>
      <w:r>
        <w:t>Le Tribunal administratif fédéral est compétent pour statuer sur le présent recours (art. 31, 32 et 33 let. e de la loi du 17 juin 2005 sur le Tribunal administratif fédéral [LTAF, RS 173.32] et art. 5 al. 2 de la loi fédérale du 20 décembre 1968 sur la procédure administrative [PA, RS 172.021]). La qualité pour recourir doit être reconnue à la recourante (art. 48 al. 1 let. a à c PA). Les autres conditions de recevabilité sont respectées (art. 11, 22a al. 1 let. b, 50, 52 al. 1 et 63 al. 4 PA). Le recours est ainsi recevable.</w:t>
      </w:r>
    </w:p>
    <w:p>
      <w:r>
        <w:rPr>
          <w:b/>
        </w:rPr>
        <w:t>E. 2</w:t>
      </w:r>
    </w:p>
    <w:p>
      <w:r>
        <w:t>A teneur de l'art. 3 al. 1 let. c de la loi fédérale du 28 août 1992 sur la protection des marques (LPM, RS 232.11), sont exclus de la protection comme marque les signes similaires à une marque antérieure et destinés à des produits identiques ou similaires lorsqu'il en résulte un risque de confusion.</w:t>
      </w:r>
    </w:p>
    <w:p>
      <w:r>
        <w:rPr>
          <w:b/>
        </w:rPr>
        <w:t>E. 3</w:t>
      </w:r>
    </w:p>
    <w:p>
      <w:r>
        <w:t>Pour l'appréciation du risque de confusion, il convient de prendre en compte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Il convient également de tenir compte de l'attention dont les consommateurs font ordinairement preuve (arrêt du Tribunal administratif fédéral [TAF] B-8011/2007 du 24 octobre 2008 consid. 3 EMOTION/e motion).</w:t>
      </w:r>
    </w:p>
    <w:p>
      <w:r>
        <w:rPr>
          <w:b/>
        </w:rPr>
        <w:t>E. 3.1</w:t>
      </w:r>
    </w:p>
    <w:p>
      <w:r>
        <w:t>Des produits sont similaires lorsque les cercles des consommateurs concernés peuvent être amenés à penser, en présence de marques similaires et au regard de leurs lieux de production et de distribution usuels, qu'ils proviennent de la même entreprise ou qu'ils seraient du moins produits par des entreprises liées sur le plan économique et sous le contrôle d'un titulaire unique (LUCAS DAVID, Kommentar zum schweizerischen Privatrecht, Markenschutzgesetz, Muster- und Modellgesetz, 2e éd., Bâle 1999, MSchG, n° 8 et 35 ad art. 3). Il n'y a en l'espèce pas lieu de s'écarter de la motivation de l'IPI, de surcroît non contestée par les parties, selon laquelle les produits sont soit identiques, en tant que les «préparations et substances pharmaceutiques à usage humain» sont des «produits pharmaceutiques», soit similaires dès lors que les éventuels autres «produits» qui ne seraient pas des «préparations et substances» seraient si proches de ces dernières qu'ils devraient être considérés comme similaires.</w:t>
      </w:r>
    </w:p>
    <w:p>
      <w:r>
        <w:rPr>
          <w:b/>
        </w:rPr>
        <w:t>E. 3.2</w:t>
      </w:r>
    </w:p>
    <w:p>
      <w:r>
        <w:t>Dans un arrêt du 8 avril 2008, le Tribunal administratif fédéral a confirmé la jurisprudence selon laquelle les marques pharmaceutiques s'adressaient au grand public, de sorte qu'il convenait d'appliquer les critères habituels lors de l'examen du risque de confusion, nonobstant le fait que le public était plus attentif lors de l'achat d'un médicament que lors de l'achat d'un autre produit. Il a toutefois précisé que, lorsqu'une marque était enregistrée pour un produit pharmaceutique spécifique qui ne pouvait être délivré que sur ordonnance médicale compte tenu de son composant actif (il s'agissait en l'espèce d'un opiacé), l'existence d'un éventuel risque de confusion devait être appréciée en tenant compte de la perception de la marque par un médecin (arrêt du TAF B-4070/2007 consid. 5.2 et 8 Levane/Levact et les réf. citées). En l'occurrence, il ressort de la formulation des libellés des produits revendiqués par les marques que ces dernières ne sont pas spécifiquement protégées pour des produits pharmaceutiques dont la prescription et la vente imposeraient l'attention particulière d'un spécialiste eu égard à leur composition. Il convient en conséquence de tenir compte de la perception des signes par le grand public, soit le consommateur moyen normalement informé et raisonnablement attentif (arrêt du TAF B-1700/2009 du 11 novembre 2009 consid. 4.2 Oscillococcinum/Anticoccinum). Relevant que les marques se rapportent toutes deux à des substances destinées à traiter des troubles de l'artère coronarienne et qu'il s'agit de comprimés ou solutions destinés à réguler l'hypertension artérielle, la recourante fait valoir que les parties sont des concurrentes directes et qu'une rigueur doit s'imposer dans l'examen du risque de confusion. Outre le fait que l'intimée conteste, pour ce qui est de la marque attaquée, qu'il s'agit de médicaments pour soigner l'hypertension, ces arguments ne sauraient de toute manière être retenus dès lors que c'est l'inscription au registre, et non la manière dont est effectivement utilisée la marque, qui est déterminante pour l'appréciation de la similitude des signes (arrêt du TAF B-7438/2006 du 10 mai 2007 in sic! 2007 749 consid. 5 Cellini/Elini). Or, en l'occurrence, les libellés des produits désignés par les signes ne fournissent pas de plus amples indications quant aux types de produits, préparations ou substances pharmaceutiques visés.</w:t>
      </w:r>
    </w:p>
    <w:p>
      <w:r>
        <w:rPr>
          <w:b/>
        </w:rPr>
        <w:t>E. 3.3</w:t>
      </w:r>
    </w:p>
    <w:p>
      <w:r>
        <w:t>La comparaison des signes litigieux suppose en premier lieu de s'interroger sur l'étendue de protection de la marque opposante, celle-ci étant indispensable pour estimer le risque de confusion (arrêt du TAF B-8052/2008 du 29 octobre 2009 consid. 7.2 G-STAR/X-STAR). Le périmètre de protection d'une marque dépend de sa force distinctive. Il est plus restreint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en revanche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(ATF 122 III 382 consid. 2a Kamillosan). La marque opposante «SEVIKAR» pourrait en théorie être décomposée en deux acronymes : «SEV» d'une part, pour «severity», soit un vocable anglais aisément traduisible par «sévérité» pour le consommateur, et «KAR» ou «IKAR» d'autre part (voir à ce propos www.acronymfinder.com). Ces deux derniers acronymes «KAR» et «IKAR» sont toutefois peu répandus et il y a tout lieu d'admettre qu'ils n'ont aucun caractère descriptif pour les produits en cause et ne revêtent aucun sens pour le consommateur tel qu'il a été défini au consid. 3.2 ci-dessus. Force est donc de considérer que la marque «SEVIKAR» est un terme fantaisiste qui ne revêt in casu aucun caractère descriptif en lien avec les produits pharmaceutiques. Partant, elle dispose d'une force distinctive et d'un champ de protection normaux. Il en résulte qu'une reprise de ses caractéristiques générales par une marque tierce qui ne s'en éloignerait pas suffisamment est susceptible, a priori, de créer un risque de confusion.</w:t>
      </w:r>
    </w:p>
    <w:p>
      <w:r>
        <w:rPr>
          <w:b/>
        </w:rPr>
        <w:t>E. 3.4</w:t>
      </w:r>
    </w:p>
    <w:p>
      <w:r>
        <w:t>La similarité entre deux signes est déterminée par l'impression d'ensemble laissée au public (ATF 128 III 441 consid. 3.1 Appenzeller). Dès lors que le consommateur, en général, ne verra ni n'entendra les deux signes simultanément et que celui des deux qu'il voit ou entend s'oppose dans sa mémoire à l'image plus ou moins effacée de l'autre vu dans le temps, il convient d'examiner les caractéristiques susceptibles de subsister dans la mémoire d'un consommateur moyen (ATF 121 III 377 consid. 2a Boss/Boks). L'impression des marques verbales est déterminée par leur effet auditif, leur représentation graphique et leur signification (arrêt du TAF B-142/2009 du 6 mai 2009 consid. 2.3 Pulcino/Dolcino) et la similitude doit en principe déjà être admise lorsqu'un risque de confusion se manifeste sur la base de l'un de ces trois critères (DAVID, op. cit., n° 17 ad art. 3).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(ATF 127 III 160 consid. 2b/cc Securitas).</w:t>
      </w:r>
    </w:p>
    <w:p>
      <w:r>
        <w:rPr>
          <w:b/>
        </w:rPr>
        <w:t>E. 3.4.1</w:t>
      </w:r>
    </w:p>
    <w:p>
      <w:r>
        <w:t>Les marques verbales «SEVIKAR» et «SEVCAD» dénombrent sept, respectivement six caractères, dont les trois premiers sont identiques. La lettre «A» se retrouve par ailleurs au même emplacement dans les deux signes, soit en avant-dernière position. Visuellement, s'il y a lieu d'admettre que les marques concordent sur leurs trois premiers caractères et que leur longueur est pratiquement la même, force est d'admettre que ces signes se distinguent toutefois en leurs milieu et fin, en raison des lettres «IK» et «R» pour la marque opposante et «C» et «D» s'agissant de la marque attaquée. Partant, une certaine dissemblance visuelle doit être admise entre les signes en dépit d'une concordance sur leurs trois premières lettres.</w:t>
      </w:r>
    </w:p>
    <w:p>
      <w:r>
        <w:rPr>
          <w:b/>
        </w:rPr>
        <w:t>E. 3.4.2</w:t>
      </w:r>
    </w:p>
    <w:p>
      <w:r>
        <w:t>L'examen sous l'angle phonétique fait apparaître que les signes se décomposent pour l'un en trois syllabes «SE-VI-KAR» et pour l'autre en deux «SEV-CAD» et qu'ils comportent une succession de voyelles différentes, soit «E-I-A» et «E-A», ceci induisant une cadence de lecture ainsi qu'une intonation différentes entre les marques. A cela s'ajoute que les syllabes d'attaque diffèrent d'une marque à l'autre. A cet égard, la question de savoir si, comme le fait valoir l'IPI, la lettre «E» se prononcerait «é» dans «SE» et «è» dans «SEV» peut en l'espèce rester ouverte dès lors que c'est bien plus la présence de la voyelle «I» dans la syllabe centrale du signe opposant, qui ne se retrouve pas dans le signe attaqué, qui en modifie radicalement l'impression sonore. En outre, l'on peut également relever que les lettres finales respectives «R» et «D» éloignent encore phonétiquement les marques. S'il est vrai que la première partie de la marque a, en général, une importance particulière, il faut néanmoins garder à l'esprit que le début du mot ne détermine pas toujours l'impression générale d'une marque et qu'il y a lieu d'examiner, dans chaque cas particulier, dans quelle mesure les divers éléments du signe ont une influence sur l'impression d'ensemble de ce dernier (arrêt du TAF B-386/2007 du 4 décembre 2009 consid. 7.3 SKY/SKYPE IN, SKYPE OUT). En l'espèce, là encore, bien que partageant la même séquence de lettres «SEV», il y a lieu de conclure que les signes divergent quant à leur prononciation.</w:t>
      </w:r>
    </w:p>
    <w:p>
      <w:r>
        <w:rPr>
          <w:b/>
        </w:rPr>
        <w:t>E. 3.4.3</w:t>
      </w:r>
    </w:p>
    <w:p>
      <w:r>
        <w:t>Une similarité visuelle ou auditive peut être compensée par un sens clairement différent ; une telle compensation n'est cependant possible que lorsqu'une association immédiate et évidente se fait avec un terme précis (arrêt du TAF B-7460/2006 du 6 juillet 2007 consid. 6 Adia/Aida Jobs, Aida Personal). Il a été établi plus haut que la marque opposante «SEVIKAR» est une entité fantaisiste qui ne présente aucun sens particulier pour le consommateur. La situation apparaît toutefois quelque peu différente pour la marque attaquée «SEVCAD». En effet, à l'instar de la marque opposante, celle-là peut également se décomposer en deux acronymes, soit «SEV» pour «severity» d'une part et «CAD» pour «coronary artery disease» d'autre part (www.acronymfinder.com). Ce second acronyme, propre au domaine médical, pourrait être compréhensible pour un spécialiste de la branche. Un tel consommateur pourrait ainsi donner à la marque «SEVCAD» le sens de «sévère maladie de l'artère coronaire». Il apparait par contre des plus douteux que le consommateur moyen connaisse cet acronyme de la langue anglaise et qu'il soit en mesure, par ce biais, de reconnaître un sens à la marque attaquée. Force est donc de considérer que les deux marques en présence doivent être appréhendées comme des entités fantaisistes ne revêtant aucune signification particulière qui serait de nature à les différencier ou à les rapprocher, comme l'a justement relevé l'IPI.</w:t>
      </w:r>
    </w:p>
    <w:p>
      <w:r>
        <w:rPr>
          <w:b/>
        </w:rPr>
        <w:t>E. 3.5</w:t>
      </w:r>
    </w:p>
    <w:p>
      <w:r>
        <w:t>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(ATF 128 III 441 consid. 3.1 Appenzeller). Enfin, le risque de confusion ne résulte pas d'une vague et lointaine possibilité de confusion mais présuppose que le consommateur moyen soit vraisemblablement exposé à ce risque (ATF 122 III 382 consid. 1 Kamillosan). La recourante conclut à un risque de confusion direct, voire indirect. Selon elle, bien que les produits du domaine médical soient généralement achetés avec un certain degré d'attention, leur finalité identique est toutefois susceptible d'induire en erreur. Elle relève que, même pour un «homme de l'art», dont la fonction sera d'orienter un patient vers le remède approprié, la similitude des signes est d'autant plus préoccupante que la pathologie à laquelle ils répondent est identique, en ajoutant que les marques pharmaceutiques s'adressent en définitive au consommateur final pour lequel la confusion entre des médicaments pourrait être lourde de conséquences. Elle considère ainsi qu'une appréciation plus clémente du risque de confusion ne se justifie en l'espèce pas. Dans le domaine des marques de produits pharmaceutiques composées de plusieurs syllabes, l'existence d'un risque de confusion a généralement été admis lorsque les marques ne se distinguaient que par leur syllabe médiane ou finale (p. ex. Alucol/Aludrox). Par contre, la jurisprudence admet qu'une différence dans la syllabe d'attaque est en général propre à exclure un risque de confusion (p. ex. Xylocain/Celecain) ; toutefois, si cette différence n'est que faible, un risque de confusion doit cependant être admis (p. ex. Leponex/Felonex) (voir sur l'ensemble de la question l'arrêt du TAF précité B-4070/2007 consid. 5.1 Levane/Levact et les réf. citées). Lorsque, comme c'est le cas en l'espèce, les marques en cause se caractérisent par un nombre de syllabes différent, l'existence d'un risque de confusion dépend avant tout de la question de savoir si la syllabe marquante du signe antérieur est reprise dans la marque attaquée. Un risque de confusion a ainsi été admis entre les signes «BSN Medical» et «bsmedical Biomedical Surgery», mais a été rejeté entre les signes «Tasmar» et «Tasocar». A cet égard, dans cette dernière affaire du 26 juillet 2000 à laquelle se réfère d'ailleurs l'intimée, la CREPI a considéré que, en dépit de la concordance des marques en début et fin de mot, les lettres «oc» induisaient une suite de voyelles, un nombre de syllabes ainsi qu'une cadence différents qui conduisaient à une distinction suffisante entre les signes et qu'il se justifiait de faire une exception à la règle développée par la doctrine et la jurisprudence selon laquelle les syllabes en milieu de mot n'ont souvent qu'une importance secondaire dans l'examen de la similitude des marques (sic! 2000 608 consid. 5). La situation n'apparaît pas différente dans la présente procédure. L'IPI a en effet considéré que la suite des voyelles, ainsi que le nombre de syllabes constituaient des différences suffisamment marquantes pour être perçues par le destinataire des produits visés, de sorte qu'un risque de confusion devait être exclu. En gardant à l'esprit l'attention accrue dont le consommateur fait preuve lors de l'achat de produits pharmaceutiques, il y a là également lieu de conclure qu'en dépit des trois premières lettres communes, les marques présentent des différences suffisamment perceptibles pour que l'on ne puisse les confondre. En effet, le nombre différent de syllabes, la présence de la voyelle «I», dans la deuxième syllabe de la marque opposante ainsi que les lettres finales ont pour conséquence d'éloigner de manière suffisante les signes quant à leurs impressions visuelle et sonore. Partant, il y a lieu de conclure, avec l'IPI, à l'absence d'un risque de confusion direct entre les signes. En outre, confronté à la marque attaquée qui comprend les trois lettres «SEV», le consommateur ne présumera pas qu'il est en présence d'une variante de la marque opposante, ni ne pensera à des marques de série désignant diverses lignes de produits provenant de la même entreprise ou d'entreprises économiquement liées entre elles, ce qui fait également échec au risque de confusion indirect (ATF 119 II 473 consid. 2d Radion/Radomat).</w:t>
      </w:r>
    </w:p>
    <w:p>
      <w:r>
        <w:rPr>
          <w:b/>
        </w:rPr>
        <w:t>E. 4</w:t>
      </w:r>
    </w:p>
    <w:p>
      <w:r>
        <w:t>Il résulte de ce qui précède que la décision attaquée ne viole pas le droit fédéral, qu'elle ne repose pas sur une constatation inexacte ou incomplète des faits et qu'elle n'est pas inopportune (art. 49 PA). Partant, le recours doit être rejeté.</w:t>
      </w:r>
    </w:p>
    <w:p>
      <w:r>
        <w:rPr>
          <w:b/>
        </w:rPr>
        <w:t>E. 5</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une procédure de recours devant le Tribunal administratif fédéral en matière d'opposition, la valeur litigieuse doit être estimée entre Fr. 50'000.- et Fr. 100'000.- (ATF 133 III 490 consid. 3.3). En l'espèce, les frais de procédure doivent être fixés à Fr. 4'000.- et sont intégralement compensés par l'avance de frais de Fr. 4'000.- versée par la recourante le 7 octobre 2009. L'intimée, qui obtient gain de cause et qui est représentée par un mandataire, a droit à des dépens (art. 64 al. 1 PA en rel. avec les art. 7 al. 1 et 14 FITAF). Cette dernière a produit une note de frais datée du 12 novembre 2009 d'un montant de Fr. 3'616.70 pour la préparation de la réponse au recours. En l'espèce, il se justifie d'allouer à l'intimée le montant réclamé à titre de dépens pour la présente procédure de recours (TVA comprise).</w:t>
      </w:r>
    </w:p>
    <w:p>
      <w:r>
        <w:rPr>
          <w:b/>
        </w:rPr>
        <w:t>E. 6</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