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B-576/2009 vom 25. Juni 2009</w:t>
      </w:r>
    </w:p>
    <w:p>
      <w:r>
        <w:t>Bundesverwaltungsgericht, 2009-06-25, FR</w:t>
      </w:r>
    </w:p>
    <w:p>
      <w:r>
        <w:rPr>
          <w:b/>
        </w:rPr>
        <w:t xml:space="preserve">Quelle: </w:t>
      </w:r>
      <w:r>
        <w:t>https://mcp.opencaselaw.ch/entscheid/bvger_B-576_2009</w:t>
      </w:r>
    </w:p>
    <w:p>
      <w:r>
        <w:t>FR: TAF B-576/2009 du 25 juin 2009</w:t>
      </w:r>
    </w:p>
    <w:p>
      <w:r>
        <w:t>IT: TAF B-576/2009 del 25 giugno 2009</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connaît des recours contre les décisions au sens de l'art. 5 de la loi fédérale du 20 décembre 1968 sur la procédure administrative (PA, RS 172.021) (art. 31 de la loi du 17 juin 2005 sur le Tribunal administratif fédéral [LTAF, RS 173.32]), prises par les autorités mentionnées à l'art. 33 LTAF. Demeurent réservées les exceptions prévues à l'art. 32 LTAF. Les actes attaqués sont des décisions au sens de l'art. 5 al. 2 PA. Ils émanent d'une autorité au sens de l'art. 33 let. e LTAF. Aucune des clauses d'exceptions prévues à l'art. 32 LTAF n'est par ailleurs réalisée. Le Tribunal administratif fédéral est donc compétent pour connaître des présents recours.</w:t>
      </w:r>
    </w:p>
    <w:p>
      <w:r>
        <w:rPr>
          <w:b/>
        </w:rPr>
        <w:t>E. 1.2</w:t>
      </w:r>
    </w:p>
    <w:p>
      <w:r>
        <w:t>La recourante, qui a pris part aux procédures devant l'autorité inférieure, est spécialement atteinte par les décisions attaquées et a un intérêt digne de protection à leur annulation ou à leur modification. La qualité pour recourir doit dès lors lui être reconnue (art. 48 al. 1 PA).</w:t>
      </w:r>
    </w:p>
    <w:p>
      <w:r>
        <w:rPr>
          <w:b/>
        </w:rPr>
        <w:t>E. 1.3</w:t>
      </w:r>
    </w:p>
    <w:p>
      <w:r>
        <w:t>Les dispositions relatives à la représentation, au délai de recours, à la forme et au contenu des mémoires de recours (art. 11, 20a al. 1 let. c, 50 et 52 al. 1 PA) ainsi que les autres conditions de recevabilité (art. 44 ss et 63 al. 4 PA) sont respectées. Les recours sont donc recevables.</w:t>
      </w:r>
    </w:p>
    <w:p>
      <w:r>
        <w:rPr>
          <w:b/>
        </w:rPr>
        <w:t>E. 2</w:t>
      </w:r>
    </w:p>
    <w:p>
      <w:r>
        <w:t>Par décision incidente du 16 mars 2009, les causes B-576/2009 et B-917/2009 ont été jointes. Cette jonction se justifie, dans la mesure où, conformément à la jurisprudence, les recours concernent les mêmes parties, des faits de même nature et portent sur des questions matérielles semblables (voir en ce sens : ATF 131 V 461 consid. 1.2 ; arrêt du Tribunal administratif fédéral A-1476/2006 du 26 avril 2007 consid. 1.3 ; VERA MARANTELLI-SONANINI/SAID HUBER, in : Bernhard Waldmann/Philippe Weissenberger, Praxiskommentar VwVG, Zurich 2009, n. 10 ad art. 10 ; ANDRÉ MOSER/MICHAEL BEUSCH/LORENZ KNEUBÜHLER, Prozessieren vor dem Bundesverwaltungsgericht, Bâle 2008, p. 114 s. n. 3.17).</w:t>
      </w:r>
    </w:p>
    <w:p>
      <w:r>
        <w:rPr>
          <w:b/>
        </w:rPr>
        <w:t>E. 3</w:t>
      </w:r>
    </w:p>
    <w:p>
      <w:r>
        <w:t>Une marque est un signe propre à distinguer les produits ou les services d'une entreprise de ceux d'autres entreprises (art. 1 al. 1 de la loi sur la protection des marques du 28 août 1992 [LPM, RS 232.11]). Le droit à la marque prend naissance par l'enregistrement (art. 5 LPM) et confère au titulaire le droit exclusif de faire usage de la marque pour distinguer les produits ou les services enregistrés et d'en disposer (art. 13 al. 1 LPM). Sont exclus de la protection les signes similaires à une marque antérieure et destinés à des produits ou services identiques ou similaires, lorsqu'il en résulte un risque de confusion (art. 3 al. 1 let. c LPM). Le titulaire d'une marque antérieure peut former opposition contre un nouvel enregistrement en se fondant sur l'art. 3 al. 1 LPM (art. 31 al. 1 LPM). Si l'opposition est fondée, l'enregistrement est révoqué en tout ou en partie ; dans le cas contraire, l'opposition est rejetée (art. 33 LPM).</w:t>
      </w:r>
    </w:p>
    <w:p>
      <w:r>
        <w:rPr>
          <w:b/>
        </w:rPr>
        <w:t>E. 4</w:t>
      </w:r>
    </w:p>
    <w:p>
      <w:r>
        <w:t>La protection est accordée pour autant que la marque soit utilisée en relation avec les produits ou les services enregistrés (art. 11 al. 1 LPM).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Pour les marques internationales, le délai de cinq ans précité commence à courir après l'écoulement du délai à disposition de l'Institut fédéral pour refuser la protection en Suisse de la marque ou dès le retrait d'un refus provisoire (ATF 130 III 371 consid. 1.1 Color Focus ; Ivan Cherpillod, Le droit suisse des marques, Lausanne 2007, p. 194, note de bas de page n° 633). Si le défendeur invoque le non-usage de la marque antérieure en vertu de l'art. 12 al. 1 LPM dans sa première réponse, l'opposant doit rendre vraisemblable l'usage de sa marque ou l'existence de justes motifs pour son non-usage (art. 32 LPM et 22 al. 3 de l'ordonnance du 23 décembre 1992 sur la protection des marques [OPM, RS 232.111]). La vraisemblance de l'usage doit se rapporter à une période de cinq ans rétroactivement à compter de la date à laquelle le défendeur a invoqué, dans sa première détermination, le défaut d'usage de la marque opposante (sic! 2008 36 consid. 4 Kinder).</w:t>
      </w:r>
    </w:p>
    <w:p>
      <w:r>
        <w:rPr>
          <w:b/>
        </w:rPr>
        <w:t>E. 5</w:t>
      </w:r>
    </w:p>
    <w:p>
      <w:r>
        <w:t>En l'espèce, l'autorité inférieure a jugé que le défaut d'usage a été invoqué à temps par la recourante dans sa première réponse à l'opposition du 27 juillet 2007 et que la période à prendre en compte courait du 27 juillet 2002 au 27 juillet 2007. Cette appréciation n'est pas contestée par les parties. L'IPI a également admis la vraisemblance de l'usage de la marque opposante. Au terme d'une comparaison de cette dernière avec les marques attaquées, l'autorité inférieure a considéré qu'un risque de confusion existait entre ces marques. La recourante prétend pour sa part en bref que l'usage de la marque opposante n'a pas été rendu vraisemblable et que les marques attaquées ne portent pas atteinte à la fonction distinctive de la marque opposante.</w:t>
      </w:r>
    </w:p>
    <w:p>
      <w:r>
        <w:rPr>
          <w:b/>
        </w:rPr>
        <w:t>E. 6</w:t>
      </w:r>
    </w:p>
    <w:p>
      <w:r>
        <w:t>La marque doit être utilisée en relation avec les produits ou les services enregistrés (art. 11 al. 1 LPM) et dans une forme ne divergeant pas essentiellement de la marque enregistrée (art. 11 al. 2 LPM). L'usage doit être sérieux et doit se rapporter, en principe, au territoire suisse (arrêt du Tribunal administratif fédéral B-5342/2007 du 29 février 2008 consid. 5 Whale ; ATF 107 II 356 consid. 1c et les réf. La San Marco ; Eric Meier, L'obligation d'usage en droit des marques, Zurich 2005, p. 49 ss ; Cherpillod, op. cit., p. 191 ; Philippe Gilliéron, L'usage à titre de marque en droit suisse, in : sic! 2005 Sonderheft 101, p. 108 et les réf.). Un usage local de la marque suffit toutefois à lui conférer une protection (ATF 102 II 111 consid. 3 Silva). En vertu de l'art. 5 par. 1 de la convention du 13 avril 1892 entre la Suisse et l'Allemagne concernant la protection réciproque des brevets, dessins, modèles et marques (RS 0.232.149.136), les conséquences préjudiciables qui, d'après les lois des parties contractantes, résultent du fait qu'une invention n'a pas été mise en oeuvre, qu'un dessin ou un modèle n'a pas été reproduit, ou qu'une marque de fabrique ou de commerce n'a pas été employée dans un certain délai, ne se produiront pas, si la mise en oeuvre, la reproduction ou l'emploi ont lieu sur le territoire de l'autre partie. L'usage en Allemagne vaut ainsi également usage en Suisse. Dite convention s'applique, selon le Tribunal fédéral, uniquement aux ressortissants suisses et allemands, ainsi qu'aux ressortissants d'autres pays qui sont domiciliés ou qui ont un établissement industriel ou commercial effectif et sérieux sur le territoire de l'un des deux pays (ATF 124 III 277 consid. 2c et la doctrine citée Nike) - à noter que, sur ce point, Meier et Bugnon sont d'avis que les ressortissants des pays de l'Union pour la protection de la propriété industrielle (art. 2 al. 1 de la convention de Paris pour la protection de la propriété industrielle révisée à Stockholm le 14 juillet 1967 [RS 0.232.04 ; ci-après : CUP]) et les ressortissants d'autres pays s'ils sont domiciliés ou ont un établissement industriel ou commercial effectif et sérieux sur le territoire de l'un des pays de l'Union (art. 3 CUP) peuvent également invoquer l'usage de la marque en Allemagne pour éviter la nullité de la protection de l'enregistrement d'une marque (Meier, op. cit., p. 112 ; Ute Bugnion, Neues zum schweizerisch-deutschen Staatsvertrag vom 13. April 1892 betreffend den gegenseitigen Patent-, Muster- und Markenschutz, abgeändert am 26. Mai 1902, in : sic! 2001 448, p. 453 s.). L'application de l'art. 5 de dite convention présuppose que la marque soit enregistrée aussi bien en Suisse qu'en Allemagne. En outre, l'usage en Allemagne sera retenu uniquement s'il est conforme aux exigences du droit suisse (ATF 100 II 230 et les réf. cit. Micronor ; Meier, op. cit., p. 112 ; Bugnion, op. cit., p. 452).</w:t>
      </w:r>
    </w:p>
    <w:p>
      <w:r>
        <w:rPr>
          <w:b/>
        </w:rPr>
        <w:t>E. 6.1</w:t>
      </w:r>
    </w:p>
    <w:p>
      <w:r>
        <w:t>La marque doit être utilisée dans sa fonction distinctive des produits ou des services pour lesquels elle est protégée (Christoph Willi, in : Markenschutzgesetz, Kommentar zum schweizerischen Markenrecht unter Berücksichtigung des europäischen und internationalen Markenrechts, Zurich 2002, art. 11 n. marg. 14). Il n'est par conséquent pas nécessaire qu'elle soit apposée sur le produit ou sur son emballage (arrêt du Tribunal administratif fédéral B-7449/2006 du 20 août 2007 consid. 5 Exit ; voir également : Meier, op. cit., p. 27). La marque peut donc également exercer sa fonction distinctive si elle figure sur des prospectus, des listes de prix ou des factures.</w:t>
      </w:r>
    </w:p>
    <w:p>
      <w:r>
        <w:rPr>
          <w:b/>
        </w:rPr>
        <w:t>E. 6.2</w:t>
      </w:r>
    </w:p>
    <w:p>
      <w:r>
        <w:t>L'usage d'une marque est sérieux lorsque son titulaire a l'intention de l'utiliser dans un but commercial réel. Il doit manifester l'intention de satisfaire à toute demande dans la mesure où elle ne dépasse pas les attentes les plus optimistes. Le titulaire doit en outre prospecter le marché et pouvoir démontrer une activité minimum sur ce dernier durant une période prolongée (sic! 2006 37 consid. 6 Sycor ; Cherpillod, op. cit., p. 191 ; Meier, op. cit., p. 50 ; Gilliéron, op. cit., p. 107). Il n'est pas nécessaire que le titulaire de la marque fabrique de nouveaux produits. La seule activité de vente suffit (Gilliéron, op. cit., p. 107) ; la vente sur le marché de l'occasion et de collection constitue déjà un usage valable de la marque (sic! 1998 586 consid. 1.4 Bugatti). Le degré de sériosité est relatif et dépend du type de produits ou de services concernés. Pour déterminer objectivement le sérieux de l'usage, il faut se fonder sur l'ensemble des circonstances du cas particulier, soit les produits ou les services concernés, le chiffre d'affaire usuel, ainsi que l'étendue et la durée de l'usage (Meier, op. cit., p. 50 ss). Alors qu'un usage occasionnel suffit lorsqu'il s'agit de produits rares et précieux, un usage régulier doit être exigé pour les produits de consommation courante (Gilliéron, op. cit., p. 107 et les réf. à sic! 2004 106 consid. 7 Seiko Rivoli et sic! 2004 38 consid. 5 Bosca).</w:t>
      </w:r>
    </w:p>
    <w:p>
      <w:r>
        <w:rPr>
          <w:b/>
        </w:rPr>
        <w:t>E. 7</w:t>
      </w:r>
    </w:p>
    <w:p>
      <w:r>
        <w:t>L'opposant ne doit pas démontrer l'usage de sa marque en Suisse ; il doit le rendre vraisemblable (art. 32 LPM). Le juge doit non seulement considérer l'usage comme possible mais également comme probable en se basant sur une appréciation objective des preuves (arrêt du Tribunal administratif fédéral B-7449/2006 du 20 août 2007 consid. 4 et les réf. Exit). Il ne doit pas être persuadé du fait que la marque est utilisée ; il suffit que la véracité des faits allégués soit plus élevée que celle de leur inexactitude (arrêt du Tribunal administratif fédéral B-7439/2006 du 6 juillet 2007 consid. 4.2.1 Kinder ; Lucas David, in: Kommentar zum schweizerischen Privatrecht, Markenschutz-gesetz/Muster- und Modellgesetz, Bâle 1999, MSchG art. 12 n. marg. 16 ; Gilliéron, op. cit., p. 104). Les moyens de preuve admissibles pour rendre vraisemblable l'usage d'une marque peuvent consister en des pièces justificatives (factures, bulletins de livraison) et des documents (exemples d'étiquette, échantillons, emballages, catalogues, prospectus). Les témoignages ne sont admis que lors de la procédure de recours (arrêt du Tribunal administratif fédéral B-7449/2006 du 20 août 2007 consid. 4 Exit). Les preuves d'usage doivent se rapporter à la période de contrôle qui précède l'invocation du défaut d'usage, elles doivent par conséquent être datées. Les preuves non-datées sont toutefois admissibles lorsqu'elles peuvent être mises en relation avec d'autres preuves datées (ibidem).</w:t>
      </w:r>
    </w:p>
    <w:p>
      <w:r>
        <w:rPr>
          <w:b/>
        </w:rPr>
        <w:t>E. 8</w:t>
      </w:r>
    </w:p>
    <w:p>
      <w:r>
        <w:t>L'intimée a produit, dans le cadre de la procédure devant l'autorité inférieure, les pièces suivantes en vue de rendre vraisemblable l'usage de la marque opposante : une attestation de son secrétaire général (annexe 3), des factures (annexe 4), des copies d'autorisations de mise sur le marché suisse (annexe 5), des extraits du Compendium Suisse des Médicaments (annexe 6), des copies d'emballages de médicaments (annexe 7), des extraits du site Internet "InfoVac" (annexe 8), des extraits du site Internet de la pharmacie des Hôpitaux Universitaires de Genève (HUG) (annexe 9), un extrait du site Internet "Publikums- und Fabrikabgabepreise der Medikamente auf der Spezialitätenliste" (annexe 10), un extrait du site Internet "zur Rose" (annexe 11), un extrait du site Internet de sa filiale allemande (annexe 12), des copies d'autorisations de mise sur le marché allemand (annexe 13), des copies d'emballages de médicaments commercialisés en Allemagne (annexe 14).</w:t>
      </w:r>
    </w:p>
    <w:p>
      <w:r>
        <w:rPr>
          <w:b/>
        </w:rPr>
        <w:t>E. 8.1</w:t>
      </w:r>
    </w:p>
    <w:p>
      <w:r>
        <w:t>Les annexes 3, 5, 6, 8, 9, 10, 11, 12 et 13 de la réplique du 6 février 2008 ne contiennent aucune représentation de la marque opposante. Ces documents ne permettent par conséquent pas de rendre vraisemblable son usage en Suisse ou en Allemagne en relation avec des produits pharmaceutiques (voir dans le même sens : arrêt du Tribunal administratif fédéral B-5342/2007 du 29 février 2008 consid. 7.4 Whale). En outre, les annexes 8, 10, 11 et 12 sont des extraits de sites Internet qui ne peuvent pas être retenus comme preuves d'un usage sérieux de la marque opposante, dès lors qu'aucun indice ne permet de constater qu'ils ont été consultés par des consommateurs et que des achats y ont été effectués (MEIER, op. cit., p. 85 ; arrêt du Tribunal administratif fédéral B-1755/2007 du 14 février 2008 consid. 6.2 No Name).</w:t>
      </w:r>
    </w:p>
    <w:p>
      <w:r>
        <w:rPr>
          <w:b/>
        </w:rPr>
        <w:t>E. 8.2</w:t>
      </w:r>
    </w:p>
    <w:p>
      <w:r>
        <w:t>Les annexes 4, 7 et 14 de la réplique du 6 février 2008, à savoir des copies de factures, d'emballages de médicaments et d'une notice d'emballage, contiennent l'une ou l'autre des reproductions suivantes de la marque opposante : Il s'agit d'examiner si ces formes d'usage ne divergent pas essentiellement de la marque enregistrée (art. 11 al. 2 LMP).</w:t>
      </w:r>
    </w:p>
    <w:p>
      <w:r>
        <w:rPr>
          <w:b/>
        </w:rPr>
        <w:t>E. 8.2.1</w:t>
      </w:r>
    </w:p>
    <w:p>
      <w:r>
        <w:t>Dans sa forme enregistrée, la marque opposante est une marque figurative monochrome sans revendication de couleur. Elle est composée de deux rubans, l'un concave et l'autre convexe, qui se recoupent en deux points. Il s'agit ainsi d'une figure géométrique banale faiblement distinctive. Dans sa forme utilisée dans les annexes 4, 7 et 14, la marque opposante est combinée d'un élément figuratif et d'un élément verbal. L'élément figuratif consiste en la reprise de la forme géométrique précitée constitutive de la marque inscrite au registre. Le ruban convexe est toutefois vert turquoise alors que le ruban concave est de couleur bleu pétrole. L'adjonction de ces couleurs permet de constater que ces deux rubans se chevauchent alternativement. Sous cette figure géométrique bicolore, est inscrite, en bleu pétrole, l'indication "sanofi pasteur" ou "Aventis Pasteur" suivie, en caractères gras et dans la même couleur, des lettres "MSD".</w:t>
      </w:r>
    </w:p>
    <w:p>
      <w:r>
        <w:rPr>
          <w:b/>
        </w:rPr>
        <w:t>E. 8.2.2</w:t>
      </w:r>
    </w:p>
    <w:p>
      <w:r>
        <w:t>En principe, la marque doit être utilisée dans la forme inscrite au registre (message du Conseil fédéral du 21 novembre 1990 concernant une loi fédérale sur la protection des marques et des indications de provenance [FF 1991 I 1], p. 24 ; Gilliéron, op. cit., p. 109). Le caractère dynamique du marché et son évolution exigent toutefois que le titulaire d'une marque adapte cette dernière (Meier, op. cit., p. 60). C'est la raison pour laquelle l'art. 11 al. 2 LMP précise que l'usage d'une forme de la marque ne doit pas diverger essentiellement (en allemand : wesentlich ; en italien : in maniera essenziale) de la marque enregistrée (voir également dans le même sens : art. 5 let. a al. 2 CUP). Selon la doctrine et la jurisprudence, il faut examiner si le caractère distinctif de la marque est affecté dans son identité pour apprécier l'importance des modifications apportées à la marque enregistrée. Les divergences ne sont pas essentielles lorsque le public assimile la marque utilisée à la marque enregistrée, bien qu'il puisse percevoir de minimes différences (ATF 130 III 267 consid. 2.4 Tripp Trapp, ATF 99 II 104 consid. 7 Silva ; arrêt du Tribunal administratif fédéral B-4536/2007 du 27 novembre 2007 consid. 3.3 Salamander, arrêt du Tribunal administratif fédéral B-7449/2006 du 20 août 2007 consid. 5 Exit ; MEIER, op. cit., p. 63 ; DAVID, op. cit., art. 11 n. marg. 14 ; MARBACH, op. cit., p. 176 ; WILLI,op. cit., art. 11 n. marg. 51 ; GILLIÉRON, op. cit., p. 109). Ainsi, l'omission d'éléments secondaires ou la modernisation de l'écriture ne sont pas assimilées à des modifications substantielles (arrêt du Tribunal administratif fédéral B-7439/2006 du 6 juillet 2007 consid. 4.1 Kinder ; sic! 2004 106 consid. 5 Seiko Rivoli ; DAVID, op. cit., art. 11 n. marg. 14). S'agissant des marques figuratives, la forme utilisée différera souvent de celle inscrite au registre, dès lors que de telles marques doivent évoluer, suivre les goûts et les attentes des consommateurs afin de ne pas perdre leur attrait (MEIR, op. cit., p. 69). Lorsqu'une marque figurative est utilisée avec un autre signe figuratif ou une indication verbale, l'usage ne sera retenu que si ces adjonctions n'influent pas sur l'impression générale laissée par la marque (MEIER, op. cit., p. 70 ; arrêt du Tribunal administratif fédéral B-648/2008 du 29 janvier 2009 consid. 6.2 Hirsch). Les marques inscrites avec une revendication de couleurs doivent être utilisées avec ces couleurs, à moins que la couleur ne joue qu'un rôle secondaire pour le caractère distinctif de la marque (MEIER, op. cit., p. 70). S'agissant enfin des marques sans revendication de couleur, l'utilisation de couleurs permet de maintenir l'usage de la marque, à moins que l'impression d'ensemble produite par la marque s'en trouve modifiée (arrêt du Tribunal administratif fédéral B-648/2008 du 27 janvier 2009 consid. 6.1 et les réf. Hirsch).</w:t>
      </w:r>
    </w:p>
    <w:p>
      <w:r>
        <w:rPr>
          <w:b/>
        </w:rPr>
        <w:t>E. 8.2.3</w:t>
      </w:r>
    </w:p>
    <w:p>
      <w:r>
        <w:t>Sous l'angle strictement figuratif d'abord, l'impression d'ensemble de la marque opposante dans sa forme actuelle est différente de celle suggérée par la marque inscrite au registre. Alors que cette dernière est une forme géométrique banale constituée par la superposition de deux rubans monochromes dénuée de perspective, l'adjonction des couleurs vert turquoise et bleu pétrole confère une dynamique hélicoïdale à la marque opposante, qui peut suggérer chez certains consommateurs une section d'un brin d'ADN. Ainsi, l'usage figuratif actuel du signe opposant est visuellement et conceptuellement différent de la marque enregistrée. Par ailleurs, l'adjonction de l'indication "sanofi pasteur MSD" ou "Aventis Pasteur MSD" modifie également, dans le cas particulier, l'impression d'ensemble de la marque opposante. Comme nous venons de le relever, cette dernière est en effet banale dans sa forme enregistrée, donc faible. Pour leur part, lesdits éléments verbaux sont fortement distinctifs à défaut d'avoir un sens déterminé en relation avec des produits pharmaceutiques. C'est dire qu'ils ont un caractère dominant dans l'impression d'ensemble du signe opposant.</w:t>
      </w:r>
    </w:p>
    <w:p>
      <w:r>
        <w:rPr>
          <w:b/>
        </w:rPr>
        <w:t>E. 8.2.4</w:t>
      </w:r>
    </w:p>
    <w:p>
      <w:r>
        <w:t>Il ressort de ce qui précède que les adjonctions des couleurs bleu pétrole et vert turquoise déjà mais également de l'élément verbal "sanofi pasteur MSD" ou "Aventis Pasteur MSD" créent un signe visuellement et conceptuellement distinct de la marque faiblement distinctive figurant au registre. Le signe opposant a dès lors été utilisé dans une forme divergeant essentiellement de la marque enregistrée.</w:t>
      </w:r>
    </w:p>
    <w:p>
      <w:r>
        <w:rPr>
          <w:b/>
        </w:rPr>
        <w:t>E. 8.3</w:t>
      </w:r>
    </w:p>
    <w:p>
      <w:r>
        <w:t>Dans la mesure où le signe opposant a été utilisé dans une forme divergeant essentiellement de la marque enregistrée, il sied de constater que son usage n'a pas été rendu vraisemblable. Dans ces conditions, dite marque n'est pas protégée (a contrario : art. 11 al. 1 LMP). Partant, les recours formés par Mundipharma AG doivent déjà être admis pour ce motif.</w:t>
      </w:r>
    </w:p>
    <w:p>
      <w:r>
        <w:rPr>
          <w:b/>
        </w:rPr>
        <w:t>E. 9</w:t>
      </w:r>
    </w:p>
    <w:p>
      <w:r>
        <w:t>Compte tenu du défaut d'usage de la marque opposante, les oppositions qui se fondaient sur cette marque doivent être rejetées. En principe, le Tribunal administratif fédéral n'est dès lors pas tenu d'examiner s'il existe un risque de confusion entre les marques opposées (voir dans le même sens : arrêt du Tribunal administratif fédéral B-5342/2007 du 29 février 2008 consid. 8 Whale ; sic! 2004 106 consid. 10 Seiko Rivoli). A titre superfétatoire, le Tribunal considère cependant qu'il n'existe aucun risque de confusion entre les marques opposées. En effet, la marque opposante telle qu'elle est inscrite au registre, qui consiste en une forme géographique banale, est faiblement distinctive. En revanche, la marque attaquée 1 est une marque combinée d'un élément figuratif bicolore dynamique et d'un élément verbal "targin" fortement distinctif dans la mesure où il n'a aucune signification particulière en relation avec des produits pharmaceutiques. C'est dire que les caractéristiques visuelles, phonétiques et sémantiques de cette marque permettent clairement de la distinguer de la marque opposante (cf. mutatis mutandis consid. 8.2.3). Quant à la marque attaquée 2, il est vrai qu'à l'instar de la marque opposante, elle est monochrome et composée de deux rubans entrelacés, de sorte que ces deux marques présentent certaines similitudes. Cependant, la marque opposante étant faiblement distinctive, des différences plus modestes suffiront à créer une distinction suffisante (arrêt du Tribunal administratif fédéral B-1077/2008 du 3 mars 2009 consid. 6 Sky). Or, en l'espèce, la forme des rubans de la marque attaquée 2 est distincte de celle des rubans qui constituent la marque opposante. De surcroît, même en l'absence de couleurs, la présentation graphique en perspective des rubans de la marque attaquée 2 confère un effet dynamique à la marque attaquée 2 dont la marque opposante telle qu'inscrite au registre est dépourvu. C'est dire que les marques attaquées ne portent manifestement pas atteinte à la fonction distinctive de la marque opposante.</w:t>
      </w:r>
    </w:p>
    <w:p>
      <w:r>
        <w:rPr>
          <w:b/>
        </w:rPr>
        <w:t>E. 10.1</w:t>
      </w:r>
    </w:p>
    <w:p>
      <w:r>
        <w:t>Les frais de procédure comprenant l'émolument judiciaire et les débours sont mis à la charge de la partie qui succombe (art. 63 al. 1 PA et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Au regard de ce qui précède, les frais de procédure doivent être fixés à Fr. 5'000.- et mis à la charge de l'intimée qui succombe. Les avances de frais de Fr. 5'000.- (B-576/2009) et Fr. 2'500.- (B-917/2009) sont restituées à la recourante.</w:t>
      </w:r>
    </w:p>
    <w:p>
      <w:r>
        <w:rPr>
          <w:b/>
        </w:rPr>
        <w:t>E. 10.2</w:t>
      </w:r>
    </w:p>
    <w:p>
      <w:r>
        <w:t>La recourante, qui a obtenu gain de cause, a droit à des dépens pour les frais causés par son recours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En l'espèce, la recourante a produit deux notes d'honoraire, d'un montant de Fr. 3'520.- chacune. Les mémoires de recours du 27 janvier 2009 ont toutefois un contenu presque identique. Il se justifie dès lors d'allouer à l'intimée une indemnité équitable de Fr. 5'000.- (TVA comprise) à titre de dépens pour la présente procédure de recours. Les procédures devant l'autorité inférieure ont quant à elles nécessité un double échange d'écritures. Il ressort du dossier que la recourante a répondu et dupliqué aux actes de l'intimée dans deux écritures unifiées. En application de la pratique de l'IPI (cf. Directives en matière de marques, Berne 2008, p. 186), une indemnité de Fr. 2'000.- (TVA comprise) est ainsi allouée à la recourante à titre de dépens pour la procédure devant l'autorité inférieure.</w:t>
      </w:r>
    </w:p>
    <w:p>
      <w:r>
        <w:rPr>
          <w:b/>
        </w:rPr>
        <w:t>E. 11</w:t>
      </w:r>
    </w:p>
    <w:p>
      <w:r>
        <w:t>Le présent arrêt est définitif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