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B-5743/2010 vom 14. Dezember 2010</w:t>
      </w:r>
    </w:p>
    <w:p>
      <w:r>
        <w:t>Bundesverwaltungsgericht, 2010-12-14, DE</w:t>
      </w:r>
    </w:p>
    <w:p>
      <w:r>
        <w:rPr>
          <w:b/>
        </w:rPr>
        <w:t xml:space="preserve">Quelle: </w:t>
      </w:r>
      <w:r>
        <w:t>https://mcp.opencaselaw.ch/entscheid/bvger_B-5743_2010</w:t>
      </w:r>
    </w:p>
    <w:p>
      <w:r>
        <w:t>FR: TAF B-5743/2010 du 14 décembre 2010</w:t>
      </w:r>
    </w:p>
    <w:p>
      <w:r>
        <w:t>IT: TAF B-5743/2010 del 14 dicembre 2010</w:t>
      </w:r>
    </w:p>
    <w:p>
      <w:pPr>
        <w:pStyle w:val="Heading2"/>
      </w:pPr>
      <w:r>
        <w:t>Regeste</w:t>
      </w:r>
    </w:p>
    <w:p>
      <w:r>
        <w:t>Wohnraum-, Wohnbau- und Eigentumsförderung</w:t>
      </w:r>
    </w:p>
    <w:p>
      <w:pPr>
        <w:pStyle w:val="Heading2"/>
      </w:pPr>
      <w:r>
        <w:t>Erwägungen</w:t>
      </w:r>
    </w:p>
    <w:p>
      <w:r>
        <w:rPr>
          <w:b/>
        </w:rPr>
        <w:t>E. 1</w:t>
      </w:r>
    </w:p>
    <w:p>
      <w:r>
        <w:t>Das Schreiben der Beschwerdeführerin vom 9. Dezember 2010 geht zur Kenntnis an die Vorinstanz und den Beschwerdegegner.</w:t>
      </w:r>
    </w:p>
    <w:p>
      <w:r>
        <w:rPr>
          <w:b/>
        </w:rPr>
        <w:t>E. 2</w:t>
      </w:r>
    </w:p>
    <w:p>
      <w:r>
        <w:t>Das Beschwerdeverfahren wird infolge teilweiser Wiedererwägung und teilweisen Rückzugs als gegenstandslos abgeschrieben.</w:t>
      </w:r>
    </w:p>
    <w:p>
      <w:r>
        <w:rPr>
          <w:b/>
        </w:rPr>
        <w:t>E. 3</w:t>
      </w:r>
    </w:p>
    <w:p>
      <w:r>
        <w:t>Die Verfahrenskosten von Fr. 500.- werden der Beschwerdeführerin unter Verrechnung mit dem geleisteten Kostenvorschuss von Fr. 1'500.- auferlegt. Der die Verfahrenskosten übersteigende Anteil des Kostenvorschusses von Fr. 1'000.- wird der Beschwerdeführerin nach Eintritt der Rechtskraft des vorliegenden Urteils von der Gerichtskasse zurückerstattet.</w:t>
      </w:r>
    </w:p>
    <w:p>
      <w:r>
        <w:rPr>
          <w:b/>
        </w:rPr>
        <w:t>E. 4</w:t>
      </w:r>
    </w:p>
    <w:p>
      <w:r>
        <w:t>Dem Beschwerdegegner wird zu Lasten der Beschwerdeführerin eine Parteientschädigung von Fr. 500.- (inkl. MWSt) zugesprochen.</w:t>
      </w:r>
    </w:p>
    <w:p>
      <w:r>
        <w:rPr>
          <w:b/>
        </w:rPr>
        <w:t>E. 5</w:t>
      </w:r>
    </w:p>
    <w:p>
      <w:r>
        <w:t>Dieser Entscheid geht an: die Beschwerdeführerin (Gerichtsurkunde; Rückerstattungsformular) den Beschwerdegegner (Gerichtsurkunde, Beilage gemäss Ziffer 1) die Vorinstanz (Ref-Nr. LU WBG 511907, 4,5-Zi. Wohnung, 1. Stock; Gerichtsurkunde, Beilage gemäss Ziffer 1) Eidgenössisches Volkswirtschaftsdepartement (Gerichtsurkunde) Der vorsitzende Richter: Die Gerichtsschreiberin: Philippe Weissenberger Patricia Egli Rechtsmittelbelehrung: Gegen diesen Entscheid kann innert 30 Tagen nach Eröffnung beim Bundesgericht, 1000 Lausanne 14,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die beschwerdeführende Partei in Händen hat, beizulegen (vgl. Art. 42 BGG). Versand: 14. Dezember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