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B-5685/2012 vom 17. Dezember 2015</w:t>
      </w:r>
    </w:p>
    <w:p>
      <w:r>
        <w:t>Bundesverwaltungsgericht, 2015-12-17, FR</w:t>
      </w:r>
    </w:p>
    <w:p>
      <w:r>
        <w:rPr>
          <w:b/>
        </w:rPr>
        <w:t xml:space="preserve">Quelle: </w:t>
      </w:r>
      <w:r>
        <w:t>https://mcp.opencaselaw.ch/entscheid/bvger_B-5685_2012</w:t>
      </w:r>
    </w:p>
    <w:p>
      <w:r>
        <w:t>FR: TAF B-5685/2012 du 17 décembre 2015</w:t>
      </w:r>
    </w:p>
    <w:p>
      <w:r>
        <w:t>IT: TAF B-5685/2012 del 17 dicembre 2015</w:t>
      </w:r>
    </w:p>
    <w:p>
      <w:pPr>
        <w:pStyle w:val="Heading2"/>
      </w:pPr>
      <w:r>
        <w:t>Regeste</w:t>
      </w:r>
    </w:p>
    <w:p>
      <w:r>
        <w:t>Accords illicites</w:t>
      </w:r>
    </w:p>
    <w:p>
      <w:pPr>
        <w:pStyle w:val="Heading2"/>
      </w:pPr>
      <w:r>
        <w:t>Erwägungen</w:t>
      </w:r>
    </w:p>
    <w:p>
      <w:r>
        <w:rPr>
          <w:b/>
        </w:rPr>
        <w:t>E. 7</w:t>
      </w:r>
    </w:p>
    <w:p>
      <w:r>
        <w:t>En définitive, il y a lieu d'admettre que, dès lors qu'elle a reconnu qu'il existait, entre 2006 et 2010, un accord sur les prix entre Roger Guenat SA et ses revendeurs entraînant la suppression de la concurrence efficace sur le marché des lampes frontales et l'affectant de manière notable sur les autres marchés de référence, la décision attaquée viole les art. 5 al. 4 et 5 al. 1 LCart. Bien fondé, le recours doit donc être admis. Vu l'issue du litige, la question de savoir si la recourante peut se voir imputer le comportement de Roger Guenat SA peut demeurer indécise. Il en va de même des autres griefs soulevés par la recourante. Comme l'autorité inférieure décide de l'opportunité de l'ouverture d'une enquête concernant des restrictions à la concurrence (cf. ATF 135 II 60 consid. 3.1.2) et, donc, le cas échéant, également de la reprise de celle-ci, il est expédient en l'espèce de purement et simplement annuler la décision du 20 août 2012.</w:t>
      </w:r>
    </w:p>
    <w:p>
      <w:r>
        <w:rPr>
          <w:b/>
        </w:rPr>
        <w:t>E. 8</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Aucun frais de procédure n'est mis à la charge des autorités inférieures déboutées (cf. art. 63 al. 2 PA). En l'espèce, il n'y a pas lieu de percevoir de frais de procédure de l'autorité inférieure qui succombe à l'issue du présent arrêt. Pour le reste, les frais de procédure, relatifs à la décision incidente du 26 mai 2014 rejetant les réquisitions de preuves de la recourante, doivent être fixés à 500 francs et mis à la charge de celle-ci. Ils sont imputés sur l'avance de frais de 12'000 francs versée par la recourante le 27 novembre 2012. Le solde de 11'500 francs lui sera restitué dès l'entrée en force du présent arrêt.</w:t>
      </w:r>
    </w:p>
    <w:p>
      <w:r>
        <w:rPr>
          <w:b/>
        </w:rPr>
        <w:t>E. 9</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notamment les frais de représentation (cf. art. 8 al. 1 FITAF), lesquels englobent en particulier les honoraires d'avocat (cf. art. 9 al. 1 let. a FITAF). Ils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 En l'occurrence, la recourante, qui obtient gain de cause à l'issue du présent arrêt et qui est représentée par un avocat, dûment légitimé par procuration, a droit à des dépens. L'intervention de celui-ci - qui n'a produit aucune note de frais et honoraires - a impliqué le dépôt d'un recours de 43 pages et d'une réplique de 14 pages. Compte tenu de l'ampleur et de la complexité du dossier à examiner, il se justifie, au regard du barème précité, d'allouer à la recourante une indemnité équitable de dépens de 25'000 francs (TVA comprise), à la charge de l'autorité inférieure (cf. art. 64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