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B-5676/2018 vom 21. März 2019</w:t>
      </w:r>
    </w:p>
    <w:p>
      <w:r>
        <w:t>Bundesverwaltungsgericht, 2019-03-21, DE</w:t>
      </w:r>
    </w:p>
    <w:p>
      <w:r>
        <w:rPr>
          <w:b/>
        </w:rPr>
        <w:t xml:space="preserve">Quelle: </w:t>
      </w:r>
      <w:r>
        <w:t>https://mcp.opencaselaw.ch/entscheid/bvger_B-5676_2018</w:t>
      </w:r>
    </w:p>
    <w:p>
      <w:r>
        <w:t>FR: TAF B-5676/2018 du 21 mars 2019</w:t>
      </w:r>
    </w:p>
    <w:p>
      <w:r>
        <w:t>IT: TAF B-5676/2018 del 21 marzo 2019</w:t>
      </w:r>
    </w:p>
    <w:p>
      <w:pPr>
        <w:pStyle w:val="Heading2"/>
      </w:pPr>
      <w:r>
        <w:t>Regeste</w:t>
      </w:r>
    </w:p>
    <w:p>
      <w:r>
        <w:t>Höhere Fachprüfung</w:t>
      </w:r>
    </w:p>
    <w:p>
      <w:pPr>
        <w:pStyle w:val="Heading2"/>
      </w:pPr>
      <w:r>
        <w:t>Erwägungen</w:t>
      </w:r>
    </w:p>
    <w:p>
      <w:r>
        <w:rPr>
          <w:b/>
        </w:rPr>
        <w:t>E. 1.1</w:t>
      </w:r>
    </w:p>
    <w:p>
      <w:r>
        <w:t>Der angefochtene Beschwerdeentscheid der Vorinstanz vom 6. September 2018 ist eine Verfügung im Sinn von Art. 5 Abs. 2 des Verwaltungsverfahrensgesetzes vom 20. Dezember 1968 (VwVG, SR 172.021). Das Bundesverwaltungsgericht ist für die Beurteilung der vorliegenden Beschwerde zuständig (Art. 61 Abs. 2 des Berufsbildungsgesetzes vom 13. Dezember 2002 [BBG, SR 412.10] i.V.m. Art. 31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Die Beschwerde wurde innerhalb der gesetzlichen Frist eingereicht (Art. 50 Abs. 1 VwVG). Die Anforderungen an Form und Inhalt der Rechtsschrift sind erfüllt (Art. 52 Abs. 1 und 2 VwVG) und der Kostenvorschuss wurde rechtzeitig geleistet (Art. 63 Abs. 4 VwVG).</w:t>
      </w:r>
    </w:p>
    <w:p>
      <w:r>
        <w:rPr>
          <w:b/>
        </w:rPr>
        <w:t>E. 1.3</w:t>
      </w:r>
    </w:p>
    <w:p>
      <w:r>
        <w:t>Auf die Beschwerde ist daher einzutreten.</w:t>
      </w:r>
    </w:p>
    <w:p>
      <w:r>
        <w:rPr>
          <w:b/>
        </w:rPr>
        <w:t>E. 2.1</w:t>
      </w:r>
    </w:p>
    <w:p>
      <w:r>
        <w:t>Das eidgenössische Diplom als diplomierter Elektroinstallateur erhält, wer die höhere Fachprüfung "diplomierter Elektroinstallateur" mit Erfolg bestanden hat (Art. 43 Abs. 1 BBG i.V.m. Art. 21 Abs. 4 und Art. 24 Abs. 1 und 3 des erstinstanzlichen Reglements vom 25. Juni 2003 über die Durchführung der Berufs- und höheren Fachprüfungen im Elektro- und Telematik-Installationsgewerbe [im Folgenden: Reglement]).</w:t>
      </w:r>
    </w:p>
    <w:p>
      <w:r>
        <w:rPr>
          <w:b/>
        </w:rPr>
        <w:t>E. 2.2</w:t>
      </w:r>
    </w:p>
    <w:p>
      <w:r>
        <w:t>Nach Art. 21 Abs. 4 des Reglements gilt die höhere Fachprüfung "diplomierter Elektroinstallateur" als bestanden, wenn weder die Durchschnittsnote der Schule in den Fächern 1 bis 5 (Schulnoten) noch die Fachnoten der Fächer 6 bis 8 der Prüfung die Note 4 unterschritten haben. Dabei wird laut Reglement unter "Schule" ein Ausbildungsinstitut verstanden, welches die Kandidaten ausbildet und Prüfungen gemäss den Weisungen der Prüfungskommission durchführt (vgl. unter "1 Allgemeines" Abs. 3 des Reglements). Die Prüfung umfasst nach Art. 16 Abs. 4 des Reglements folgende Fächer: "Gebäudetechnik II (Schulnote)" (Fach 1), "Telematik/Netzwerktechnik (Schulnote)" (Fach 2), "Betriebswirtschaft (Schulnote)" (Fach 3), "Unternehmensführung (Schulnote)" (Fach 4), "Marketing (Schulnote)" (Fach 5), "Projektierung" (Fach 6), "Technische Projektanalyse" (Fach 7), "Betriebswirtschaftliche Projektanalyse" (Fach 8). Die Leistungen werden mit Noten von 1 bis 6 bewertet, wobei die Note 4 und höhere Noten genügende und Noten unter 4 ungenügende Leistungen bezeichnen (Art. 20 Abs. 1 des Reglements). Laut Art. 19 Abs. 2 des Reglements ist die Gesamtnote der Diplomprüfung das Mittel aller an der Prüfung erteilten Fachnoten und dem Durchschnitt der Schulnoten, wobei die Gesamtnote und die Fachnoten auf eine Dezimalstelle gerundet werden.</w:t>
      </w:r>
    </w:p>
    <w:p>
      <w:r>
        <w:rPr>
          <w:b/>
        </w:rPr>
        <w:t>E. 2.3</w:t>
      </w:r>
    </w:p>
    <w:p>
      <w:r>
        <w:t>Gemäss dem Prüfungszeugnis vom 18. August 2017 erzielte der Beschwerdeführer die Schlussnote 4.2, wobei er im Fach "Betriebswirtschaftliche Projektanalyse" (Fach 8) die Note 3.0 erhielt. Damit ist zwar insgesamt nur eine Fachnote unter 4.0 gegeben. Denn im Fach "Projektierung" erhielt der Beschwerdeführer eine 4.8 und im Fach "Technische Projektanalyse" eine 4.5, bei einer Durchschnittsnote von 4.6 in den Schulprüfungen der Fächer "Gebäudetechnik II", "Telematik/Netzwerktechnik", "Betriebswirtschaft", "Unternehmensführung" und "Marketing". Mit der ungenügenden Note im Fach "Betriebswirtschaftliche Projektanalyse" ist jedoch die Voraussetzung nach Art. 21 Abs. 4 des Reglements, wonach unter anderem die Note im Fach 8 die Note 4 nicht unterschreiten darf (vgl. E. 2.2 vorstehend), nicht erfüllt. Deshalb qualifizierte die Erstinstanz die vom Beschwerdeführer abgelegte höhere Fachprüfung diplomierter Elektroinstallateur (HE) als nicht bestanden.</w:t>
      </w:r>
    </w:p>
    <w:p>
      <w:r>
        <w:rPr>
          <w:b/>
        </w:rPr>
        <w:t>E. 3.1</w:t>
      </w:r>
    </w:p>
    <w:p>
      <w:r>
        <w:t>Mit Beschwerde an das Bundesverwaltungsgericht kann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Sind die Auslegung und Anwendung von Rechtsvorschriften streitig oder werden Verfahrensmängel im Prüfungsablauf gerügt, hat die Beschwerdeinstanz die erhobenen Einwendungen mit freier Kognition zu prüfen, andernfalls sie eine formelle Rechtsverweigerung beginge (BVGE 2010/10 E. 4.1, 2008/14 E. 3.3, je mit zahlreichen Hinweisen).</w:t>
      </w:r>
    </w:p>
    <w:p>
      <w:r>
        <w:rPr>
          <w:b/>
        </w:rPr>
        <w:t>E. 3.3</w:t>
      </w:r>
    </w:p>
    <w:p>
      <w:r>
        <w:t>Vorab geht es dem Beschwerdeführer in formeller Hinsicht sowohl allgemein als auch im konkret umstrittenen Einzelfall um die Klärung der Frage, ob handschriftliche Notizen, die vom Kandidaten während einer mündlichen Prüfung erstellt worden sind, als Beweismittel für dessen Prüfungsantworten dienen können oder nicht (vgl. Sachverhalt Bst. D vorstehend).</w:t>
      </w:r>
    </w:p>
    <w:p>
      <w:r>
        <w:rPr>
          <w:b/>
        </w:rPr>
        <w:t>E. 3.3.1</w:t>
      </w:r>
    </w:p>
    <w:p>
      <w:r>
        <w:t>Im Verwaltungsverfahren gilt das Untersuchungsprinzip, das heisst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ständiger Praxis des Bundesgerichts und des Bundesverwaltungsgerichts findet die Beweislastregel von Art. 8 des Zivilgesetzbuchs vom 10. Dezember 1907 (ZGB, SR 210) auch im öffentlichen Recht Anwendung (vgl. BGE 133 V 216 E. 5.5; Urteile des BVGer A-2621/2018 vom 14. Februar 2019 E. 3 und B-7087/2016 vom 25. April 2017 E. 2.2, je mit Hinweisen). Danach hat jene Partei das Vorhandensein einer behaupteten Tatsache zu beweisen, die aus ihr Rechte ableitet. Bei Beweislosigkeit ist folglich zu Ungunsten derjenigen Partei zu entscheiden, welche die Beweislast trägt (BGE 138 II 465 E. 6.8.2; Urteile des BVGer A-2621/2018 vom 14. Februar 2019 E. 3, A-778/2014 vom 11. August 2014 E. 5.1.2 und A-1404/2012 vom 23. August 2012 E. 2.2; André Moser/Michael Beusch/Lorenz Kneubühler, Prozessieren vor dem Bundesverwaltungsgericht, 2. Aufl. 2013, Rz. 3.149 ff.).</w:t>
      </w:r>
    </w:p>
    <w:p>
      <w:r>
        <w:rPr>
          <w:b/>
        </w:rPr>
        <w:t>E. 3.3.2</w:t>
      </w:r>
    </w:p>
    <w:p>
      <w:r>
        <w:t>In der Wegleitung zum Reglement über die Durchführung der Berufs- und höheren Fachprüfungen im Elektro- und Telematik-Installationsgewerbe, höhere Fachprüfung Elektroinstallateur/in mit eidg. Diplom, Ausgabe 2008 [im Folgenden: Wegleitung], ist für die Durchführung der einstündigen mündlichen Prüfung im Fach "Betriebswirtschaftliche Projektanalyse" eine Stunde Arbeitsvorbereitung (AVOR) vorgesehen (S. 29). Dass der Kandidat in dieser Stunde die Gelegenheit dazu hat, handschriftliche Notizen zu erstellen und so die nachfolgende mündliche Prüfung vorzubereiten, ist gerichtsnotorisch und wird zudem von der Erstinstanz in ihren beiden Stellungnahmen an die Vorinstanz bestätigt. Zur Berücksichtigung dieser Notizen bei der Benotung besteht bislang, soweit ersichtlich, keine Rechtsprechung. Erstellt indes ein Prüfungsexperte oder -beisitzer während einer mündlichen Prüfung für sich selber gewisse interne Aufzeichnungen, sind diese laut Bundesgericht als rein interne Papiere zu betrachten, denen nur die Bedeutung eines Hilfsbelegs und einer auf freiwilliger Basis erstellten Gedankenstütze zur Vorbereitung des Entscheids, nicht aber Beweischarakter zukommt (vgl. Urteil des BGer 2P.23/2004 vom 13. August 2004 E. 2.4 mit weiteren Hinweisen). Die Notizen, welche sich ein Kandidat im Hinblick auf eine mündliche Prüfung oder während dieser handschriftlich macht, können nicht grundsätzlich anders behandelt werden. Sie dienen einzig seiner Meinungsbildung für die mündliche Beantwortung der Prüfungsfragen und sind insofern ein blosses Hilfsmittel. Nach dem Gesagten stellen die Notizen des Beschwerdeführers vorliegend kein taugliches Beweismittel dar, zumal sie, selbst wenn ihnen private Urkundenqualität zukommen sollte, reine Parteibehauptungen darstellen. Aufgrund der Mündlichkeit der Prüfung haben die Experten naturgemäss nur die effektiven mündlichen Antworten des Kandidaten zu berücksichtigen und zu bewerten. Eine Verpflichtung zur Berücksichtigung oder Bewertung auch der handschriftlichen Notizen des Kandidaten im Rahmen einer mündlichen Prüfung geht weder aus der Rechtsprechung noch der Lehre hervor. Auch dem Reglement, der Wegleitung oder den vorliegenden Akten kann nichts Gegenteiliges entnommen werden, was im Übrigen auch der Beschwerdeführer nicht nachzuweisen vermag. Er hat denn auch die Folgen der Beweislosigkeit zu tragen (E. 3.3.1 hiervor).</w:t>
      </w:r>
    </w:p>
    <w:p>
      <w:r>
        <w:rPr>
          <w:b/>
        </w:rPr>
        <w:t>E. 3.4</w:t>
      </w:r>
    </w:p>
    <w:p>
      <w:r>
        <w:t>Mit Bezug auf mündliche Prüfungen lässt sich sodann aus Art. 29 der Bundesverfassung vom 18. April 1999 (BV, SR 101) keine Verpflichtung zur schriftlichen Aufzeichnung solcher Prüfungen ableiten. Umso weniger lässt sich aus der besagten Verfassungsbestimmung eine Verpflichtung zu deren akustischen Aufzeichnung herleiten (vgl. Urteil des BGer 2P.23/2004 vom 13. August 2004 E. 2.4). Zudem ist in den reglementarischen Grundlagen der höheren Fachprüfung diplomierter Elektroinstallateur (HE) unstrittig keine solche Aufzeichnung vorgesehen. Die mündlichen Prüfungen wurden vorliegend - wie in Art. 13 Abs. 2 des Reglements als Mindeststandard vorgesehen - von zwei Experten abgenommen, welche die Leistungen des Beschwerdeführers beurteilt und gemeinsam die Note festgelegt haben. Eine Protokollierungspflicht kann dem Reglement nicht entnommen werden. Mangels rechtlicher Grundlage besteht demgemäss - entgegen der Forderung des Beschwerdeführers - vorliegend keine Möglichkeit, die Vorinstanz dazu zu verpflichten, künftig die mündlichen Prüfungen dieser Fachprüfung akustisch aufzuzeichnen.</w:t>
      </w:r>
    </w:p>
    <w:p>
      <w:r>
        <w:rPr>
          <w:b/>
        </w:rPr>
        <w:t>E. 4.1</w:t>
      </w:r>
    </w:p>
    <w:p>
      <w:r>
        <w:t>Was die materiellen Vorbringen anbelangt, hat die Rechtsmittelbehörde auf Rügen bezüglich der Bewertung von Prüfungsleistungen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(vgl. BVGE 2010/21 E. 5.1, 2010/11 E. 4.3, 2010/10 E. 4.1, je mit Hinweisen; Urteil des BVGer B-1962/2017 vom 22. November 2018 E. 4.1; kritisch dazu: Patricia Egli, Gerichtlicher Rechtsschutz bei Prüfungsfällen: Aktuelle Entwicklungen, in: Schweizerisches Zentralblatt für Staats- und Verwaltungsrecht [ZBl] 10/2011, S. 553 ff., insbesondere 555-556 mit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(eben genanntes Urteil B-1962/2017 E. 4.1 mit Hinweis).</w:t>
      </w:r>
    </w:p>
    <w:p>
      <w:r>
        <w:rPr>
          <w:b/>
        </w:rPr>
        <w:t>E. 4.2</w:t>
      </w:r>
    </w:p>
    <w:p>
      <w:r>
        <w:t>Der Beschwerdeführer begründet seinen Antrag, die von ihm absolvierte Prüfung habe als bestanden zu gelten, nicht näher. Es fehlt namentlich eine Begründung, warum ihm aus seiner Sicht im Fach "Betriebswirtschaftliche Projektanalyse" eine genügende Leistung zu erteilen sei. Der Beschwerdeführer zeigt insbesondere nicht auf, bei welchen Teilfragen in besagtem Fach er aus welchem Grund mehr Punkte hätte erhalten müssen. Vielmehr begnügt er sich als "eines von mehreren Beispielen" aufzuführen, dass die Auslegung der Experten, er habe "keine Aussage" zur "Erfüllungsgarantie/Baugarantie" gemacht, willkürlich sei und durch die Vor-instanz materiell geprüft werden müsse. Er beruft sich dabei darauf, dass er diese Willkür durch die handschriftlichen Beweismittel widerlegen könne, wobei er auf "Blatt 19" seiner Notizen verweist. Die beiden Experten warfen dem Beschwerdeführer indessen nicht vor, "keine Aussage" zu den vorerwähnten Garantien gemacht zu haben, sondern, dass er namentlich hinsichtlich Erfüllungsgarantie keine Angaben über Kosten, Laufzeit und Versicherungssumme gemacht habe (Stellungnahme der beiden Experten vom 5. Februar 2018, S. 1; vgl. Ziff. 6.1 des angefochtenen Entscheids). Die Vorinstanz hielt dazu fest, dass die vom Beschwerdeführer eingereichten Notizen nichts an der guten Nachvollziehbarkeit des Ablaufs des 50-minütigen Prüfungsgesprächs änderten, belegten sie doch nicht, was er während der Prüfung tatsächlich gesagt habe (Beschwerdeentscheid, Ziff. 6.3). Diese Begründung der Vorinstanz ist nachvollziehbar. Die handschriftlichen Prüfungsnotizen des Beschwerdeführers reichen entgegen dessen Ansicht nicht aus, die Aussage der Experten in Zweifel zu ziehen (vgl. E. 3.3.1 hiervor). Demzufolge sind die Vorbringen des Beschwerdeführers mit Blick auf den Prüfungserfolg im Fach "Betriebswirtschaftliche Projektanalyse" unzureichend substantiiert, so dass darauf nicht weiter einzugehen ist. Daran ändert auch die Darlegung des Beschwerdeführers nichts, dass die von ihm abgelegte höhere Fachprüfung diplomierter Elektroinstallateur (HE) als bestanden gelten müsste, da die fraglichen handschriftlichen Prüfungsnotizen als Beweismittel zu berücksichtigen seien; denn diese Notizen stellen vorliegend eben gerade - wie erwähnt (E. 3.3.2) - kein taugliches Beweismittel dar.</w:t>
      </w:r>
    </w:p>
    <w:p>
      <w:r>
        <w:rPr>
          <w:b/>
        </w:rPr>
        <w:t>E. 5</w:t>
      </w:r>
    </w:p>
    <w:p>
      <w:r>
        <w:t>Dies hat zur Folge, dass der Beschwerdeführer mit seinen Rügen insgesamt nicht durchzudringen vermag. Die Beschwerde erweist sich somit als unbegründet und ist abzuweisen.</w:t>
      </w:r>
    </w:p>
    <w:p>
      <w:r>
        <w:rPr>
          <w:b/>
        </w:rPr>
        <w:t>E. 6.1</w:t>
      </w:r>
    </w:p>
    <w:p>
      <w:r>
        <w:t>Bei diesem Verfahrensausgang sind die Verfahrenskosten dem Beschwerdeführer aufzuerlegen (Art. 63 Abs. 1 VwVG sowie Art. 1 ff. des Reglements vom 21. Februar 2008 über die Kosten und Entschädigungen vor dem Bundesverwaltungsgericht [VGKE, SR 173.320.2]). Sie werden unter Berücksichtigung des Umfangs und der Schwierigkeit der Streitsache im vorliegenden Verfahren auf Fr. 1'500.- festgesetzt (Art. 63 Abs. 4bis VwVG sowie Art. 1, 2 und 4 VGKE). Der vom Beschwerdeführer in gleicher Höhe einbezahlte Kostenvorschuss ist zur Bezahlung der Verfahrenskosten zu verwenden.</w:t>
      </w:r>
    </w:p>
    <w:p>
      <w:r>
        <w:rPr>
          <w:b/>
        </w:rPr>
        <w:t>E. 6.2</w:t>
      </w:r>
    </w:p>
    <w:p>
      <w:r>
        <w:t>Weder der unterliegende Beschwerdeführer noch die obsiegende Vorinstanz noch die Erstinstanz haben Anspruch auf eine Parteientschädigung (vgl. Art. 64 Abs. 1 VwVG e contrario und Art. 7 Abs. 3 VGKE).</w:t>
      </w:r>
    </w:p>
    <w:p>
      <w:r>
        <w:rPr>
          <w:b/>
        </w:rPr>
        <w:t>E. 7</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