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B-5636/2009 vom 13. August 2010</w:t>
      </w:r>
    </w:p>
    <w:p>
      <w:r>
        <w:t>Bundesverwaltungsgericht, 2010-08-13, FR</w:t>
      </w:r>
    </w:p>
    <w:p>
      <w:r>
        <w:rPr>
          <w:b/>
        </w:rPr>
        <w:t xml:space="preserve">Quelle: </w:t>
      </w:r>
      <w:r>
        <w:t>https://mcp.opencaselaw.ch/entscheid/bvger_B-5636_2009</w:t>
      </w:r>
    </w:p>
    <w:p>
      <w:r>
        <w:t>FR: TAF B-5636/2009 du 13 août 2010</w:t>
      </w:r>
    </w:p>
    <w:p>
      <w:r>
        <w:t>IT: TAF B-5636/2009 del 13 agosto 2010</w:t>
      </w:r>
    </w:p>
    <w:p>
      <w:pPr>
        <w:pStyle w:val="Heading2"/>
      </w:pPr>
      <w:r>
        <w:t>Regeste</w:t>
      </w:r>
    </w:p>
    <w:p>
      <w:r>
        <w:t>Surveillance de la révision</w:t>
      </w:r>
    </w:p>
    <w:p>
      <w:pPr>
        <w:pStyle w:val="Heading2"/>
      </w:pPr>
      <w:r>
        <w:t>Erwägungen</w:t>
      </w:r>
    </w:p>
    <w:p>
      <w:r>
        <w:rPr>
          <w:b/>
        </w:rPr>
        <w:t>E. 4</w:t>
      </w:r>
    </w:p>
    <w:p>
      <w:r>
        <w:t>Le recourant estime que le Tribunal de céans a jugé à tort que seule la pratique professionnelle de celui dont la maîtrise des notions fondamentales est déjà sanctionnée par un diplôme énuméré à l'art. 4 al. 2 revêt une certaine qualité. Selon lui, la pratique acquise avant le début de la formation devrait également être comptabilisée ; sur cette base, il conclut que, si sa formation est finalement reconnue, les douze années de pratique professionnelle doivent également lui être reconnues. L'exigence d'une formation et celle d'une pratique professionnelle de douze ans de l'art. 4 al. 2 let. c LSR sont formulées de manière cumulative de sorte que le rejet de l'un des critères entraîne ipso jure et obligatoirement le rejet de la demande même si le second est rempli. Or, puisque le critère de la formation n'est pas rempli, point n'est besoin d'examiner dans le cadre de la présente procédure la question de savoir si l'expérience professionnelle acquise avant le début de la formation doit être prise en compte. Cela étant, le Tribunal de céans a déjà eu l'occasion de se pencher sur dite question (arrêt du Tribunal administratif fédéral B-5835/2008 du 27 janvier 2009 consid. 3.1) ; il n'entend pas s'écarter de cette jurisprudence, le recourant s'étant, qui plus est, borné à la critiquer sans apporter d'arguments suffisamment convaincants susceptibles de la remettre en cause.</w:t>
      </w:r>
    </w:p>
    <w:p>
      <w:r>
        <w:rPr>
          <w:b/>
        </w:rPr>
        <w:t>E. 5</w:t>
      </w:r>
    </w:p>
    <w:p>
      <w:r>
        <w:t>Dans son mémoire de réplique, le recourant se fonde sur ses 25 années de pratique pour se prévaloir de la clause de rigueur de l'art. 43 al. 6 LSR. Le Tribunal de céans s'est déjà prononcé sur ce grief à l'égard du recourant (arrêt B-2807/2008 du 19 août 2008 consid. 4) exposant que l'art. 43 al. 6 LSR ne tend à alléger que la condition d'agrément relative à la pratique professionnelle et non celle concernant la formation ; il n'entend pas s'en écarter. Par conséquent, le recourant n'est pas habilité à obtenir un agrément sur la base de l'art. 43 al. 6 LSR dès lors qu'il ne dispose pas d'une formation requise par la législation sur la surveillance de la révision.</w:t>
      </w:r>
    </w:p>
    <w:p>
      <w:r>
        <w:rPr>
          <w:b/>
        </w:rPr>
        <w:t>E. 6</w:t>
      </w:r>
    </w:p>
    <w:p>
      <w:r>
        <w:t>Le recourant se plaint également d'une violation de l'art. 27 Cst. ; sa liberté économique serait entravée par la décision entreprise et - a fortiori - par l'exigence même d'un agrément fédéral pour exercer une activité lucrative déjà pratiquée depuis plus de 25 ans. Il estime en outre que les conditions pour une restriction à cette liberté, posées par l'art. 36 Cst. ne sont pas remplies en l'espèce. L'autorité inférieure renvoie pour l'essentiel à la décision du Tribunal de céans ayant mis un terme à la première requête d'agrément du recourant selon laquelle les impératifs en matière de formation en vue de l'agrément en qualité d'expert-réviseur satisfont aux exigences posées par l'art. 36 Cst. Le Tribunal de céans en effet s'est déjà abondamment exprimé sur cette question à la suite du recours déposé par le recourant contre la première décision de l'autorité inférieure (B-2807/2008 du 19 août 2008 consid. 5). Il convient par conséquent de se référer à cette jurisprudence de laquelle il n'y a pas lieu de s'écarter.</w:t>
      </w:r>
    </w:p>
    <w:p>
      <w:r>
        <w:rPr>
          <w:b/>
        </w:rPr>
        <w:t>E. 7</w:t>
      </w:r>
    </w:p>
    <w:p>
      <w:r>
        <w:t>Le recourant se fonde ensuite, à titre subsidiaire, sur le principe de la bonne foi. Il relève que l'autorité inférieure - dans une décision confirmée par le Tribunal de céans - a refusé l'agrément motif pris qu'il devait impérativement être au bénéfice d'un diplôme en sciences juridiques ou économiques d'une université ou d'une haute école spécialisée. Il explique avoir choisi sa formation après consultation de la loi et de l'ordonnance requérant un diplôme HES, soit un bachelor ou un master. Il reproche à l'autorité inférieure de n'avoir émis aucune réserve raison pour laquelle il estime devoir être protégé dans sa bonne foi.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lorsque les cinq conditions cumulatives suivantes sont réunies : 1) l'autorité est intervenue dans une situation concrète à l'égard de personnes déterminées ; 2) elle a agi ou est censée avoir agi dans les limites de ses compétences ; 3) l'administré n'a pas pu se rendre compte immédiatement de l'inexactitude du renseignement obtenu ; 4) l'administré s'est fondé sur les assurances ou le comportement dont il se prévaut pour prendre des dispositions auxquelles il ne saurait renoncer sans subir de préjudice ; 5) la réglementation n'a pas changé depuis le moment où l'assurance a été donnée (ATF 131 II 627 consid. 6.1 et les références citées). En l'espèce, une lecture attentive de la décision de l'autorité inférieure du 28 mars 2008 et de l'arrêt subséquent du Tribunal administratif fédéral B-2807/2008 qui l'a confirmée démontre que ni l'une ni l'autre n'ont donné au recourant l'assurance que le "Master of Advanced Studies HES-SO en lutte contre la criminalité économique" ou, à tout le moins, un Master of Advanced Studies constituerait une formation suffisante au regard de l'art. 4 al. 2 let. c LSR. Or, c'est à cette seule condition que l'on pourrait considérer que l'autorité a donné au recourant, dans une situation concrète à son égard, un renseignement erroné sur lequel il se serait fondé. Au contraire, les deux autorités concernées se sont bornées à rappeler les exigences légales ; aucune information fausse ne lui a dès lors été communiquée. Sur le vu de ce qui précède, il faut donc admettre sans hésiter que l'une des conditions cumulatives de la protection de la bonne foi n'est à l'évidence pas remplie, ce qui suffit à nier l'application dudit principe in casu. Partant, le grief du recourant apparaît mal fondé.</w:t>
      </w:r>
    </w:p>
    <w:p>
      <w:r>
        <w:rPr>
          <w:b/>
        </w:rPr>
        <w:t>E. 8</w:t>
      </w:r>
    </w:p>
    <w:p>
      <w:r>
        <w:t>En dernier lieu, le recourant invoque l'arbitraire de la décision attaquée. À cet égard, il estime que l'autorité inférieure devait faire usage du pouvoir d'appréciation conféré par l'art. 43 al. 6 LSR. Or, la Cour de céans a également exposé dans sa décision B-2807/2008 du 19 août 2008 au consid. 6 que dite disposition n'habilite pas l'autorité de surveillance à agréer des personnes ne bénéficiant pas d'un diplôme mentionné à l'art. 4 al. 2 LSR. Ainsi, l'autorité inférieure n'était pas en mesure d'octroyer un agrément au recourant en faisant usage de son pouvoir d'appréciation sur la base de cette norme juridique sans violer sinon la loi.</w:t>
      </w:r>
    </w:p>
    <w:p>
      <w:r>
        <w:rPr>
          <w:b/>
        </w:rPr>
        <w:t>E. 9</w:t>
      </w:r>
    </w:p>
    <w:p>
      <w:r>
        <w:t>Le recourant sollicite enfin de la Cour de céans de se prononcer, en cas de rejet du recours au motif qu'il ne bénéficierait pas des douze ans de pratique professionnelle, sur la formation suffisante ou non du détenteur du Master of Advanced Studies HES-SO en lutte contre la criminalité économique considérant la question comme pertinente dans le cadre d'une éventuelle demande d'agrément en qualité de réviseur. En l'espèce, le rejet du recours est motivé par l'absence de formation requise par la législation sur la surveillance de la révision et non par celle d'une pratique professionnelle suffisante. Les exigences de formation pour l'agrément des réviseurs étant les mêmes que pour celui des experts-réviseurs (cf. art. 5 al. 1 let. c LSR), le Master of Advanced Studies HES-SO en lutte contre la criminalité économique ne saurait être jugé suffisant pour l'octroi de l'agrément en qualité de réviseur.</w:t>
      </w:r>
    </w:p>
    <w:p>
      <w:r>
        <w:rPr>
          <w:b/>
        </w:rPr>
        <w:t>E. 10</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Fr. 2'000.-, doivent être intégralement mis à sa charge. Ils sont compensés par l'avance de frais de Fr. 2'000.- versée par le recourant. Vu l'issue de la procédure, le recourant n'a pas droit à des dépens (art. 64 PA).</w:t>
      </w:r>
    </w:p>
    <w:p>
      <w:r>
        <w:rPr>
          <w:b/>
        </w:rPr>
        <w:t>E. 12</w:t>
      </w:r>
    </w:p>
    <w:p>
      <w:r>
        <w:t>Le présent arrêt est définitif (art. 83 let. t de la loi du 17 juin 2005 sur le Tribunal fédéral [LTF, RS 173.110] ; arrêt du Tribunal fédéral 2C_136/2009 du 16 juin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