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B-5624/2007 vom 20. Juni 2008</w:t>
      </w:r>
    </w:p>
    <w:p>
      <w:r>
        <w:t>Bundesverwaltungsgericht, 2008-06-20, DE</w:t>
      </w:r>
    </w:p>
    <w:p>
      <w:r>
        <w:rPr>
          <w:b/>
        </w:rPr>
        <w:t xml:space="preserve">Quelle: </w:t>
      </w:r>
      <w:r>
        <w:t>https://mcp.opencaselaw.ch/entscheid/bvger_B-5624_2007</w:t>
      </w:r>
    </w:p>
    <w:p>
      <w:r>
        <w:t>FR: TAF B-5624/2007 du 20 juin 2008</w:t>
      </w:r>
    </w:p>
    <w:p>
      <w:r>
        <w:t>IT: TAF B-5624/2007 del 20 giugno 2008</w:t>
      </w:r>
    </w:p>
    <w:p>
      <w:pPr>
        <w:pStyle w:val="Heading2"/>
      </w:pPr>
      <w:r>
        <w:t>Regeste</w:t>
      </w:r>
    </w:p>
    <w:p>
      <w:r>
        <w:t>Direktzahlungen und Ökobeiträge</w:t>
      </w:r>
    </w:p>
    <w:p>
      <w:pPr>
        <w:pStyle w:val="Heading2"/>
      </w:pPr>
      <w:r>
        <w:t>Erwägungen</w:t>
      </w:r>
    </w:p>
    <w:p>
      <w:r>
        <w:rPr>
          <w:b/>
        </w:rPr>
        <w:t>E. 1</w:t>
      </w:r>
    </w:p>
    <w:p>
      <w:r>
        <w:t>Das Bundesverwaltungsgericht beurteilt gemäss Art. 31 des Verwaltungsgerichtsgesetzes vom 17. Juni 2005 (VGG, SR 173.32) Beschwerden gegen Verfügungen nach Art. 5 des Bundesgesetzes vom 20. Dezember 1968 über das Verwaltungsverfahren (VwVG, SR 172.021). Das Verfahren vor dem Bundesverwaltungsgericht richtet sich nach dem VwVG, soweit das Verwaltungsgerichtsgesetz nichts anderes bestimmt (Art. 37 VGG).</w:t>
      </w:r>
    </w:p>
    <w:p>
      <w:r>
        <w:rPr>
          <w:b/>
        </w:rPr>
        <w:t>E. 1.1</w:t>
      </w:r>
    </w:p>
    <w:p>
      <w:r>
        <w:t>Gestützt auf Art. 33 Bst. i VGG in Verbindung mit Art. 166 Abs. 2 LwG kann gegen Verfügungen letzter kantonaler Instanzen in Anwendung des Landwirtschaftsgesetzes und seiner Ausführungsbestimmungen beim Bundesverwaltungsgericht Beschwerde erhoben werden; ausgenommen sind kantonale Verfügungen über Strukturverbesserungen, die mit Beiträgen unterstützt werden. Beim angefochtenen Rekursentscheid des Regierungsrates des Kantons Zürich handelt es sich gemäss kantonalem Recht um einen letztinstanzlichen Entscheid (vgl. Art. 42 des Verwaltungsrechtspflegegesetzes des Kantons Zürich vom 24. Mai 1959, VRG, LS 175.2) und um eine Verfügung im Sinne von Art. 5 VwVG. Das Bundesverwaltungsgericht ist damit zur Behandlung der vorliegenden Beschwerde zuständig.</w:t>
      </w:r>
    </w:p>
    <w:p>
      <w:r>
        <w:rPr>
          <w:b/>
        </w:rPr>
        <w:t>E. 1.2</w:t>
      </w:r>
    </w:p>
    <w:p>
      <w:r>
        <w:t>Die Beschwerdeführer haben am vorinstanzlichen Verfahren teilgenommen und sind als Entscheidadressaten vom angefochtenen Entscheid besonders betroffen. Sie haben ein schutzwürdiges Interesse an dessen Aufhebung oder Änderung, womit sie gestützt auf Art. 48 Abs. 1 VwVG beschwerdeberechtigt sind.</w:t>
      </w:r>
    </w:p>
    <w:p>
      <w:r>
        <w:rPr>
          <w:b/>
        </w:rPr>
        <w:t>E. 1.3</w:t>
      </w:r>
    </w:p>
    <w:p>
      <w:r>
        <w:t>Die Beschwerde wurde form- und fristgerecht eingereicht (Art. 50 Abs. 1 und Art. 52 Abs. 1 VwVG). Es ist somit auf diese einzutreten.</w:t>
      </w:r>
    </w:p>
    <w:p>
      <w:r>
        <w:rPr>
          <w:b/>
        </w:rPr>
        <w:t>E. 2</w:t>
      </w:r>
    </w:p>
    <w:p>
      <w:r>
        <w:t>Gemäss Art. 70 Abs. 5 Bst. f LwG bestimmt der Bundesrat "Grenzwerte bezüglich steuerbarem Einkommen und Vermögen der Bewirtschafter und Bewirtschafterinnen, ab denen die Summe der Beiträge gekürzt wird oder keine Beiträge ausgerichtet werden". Der französische und der italienische Gesetzestext sprechen ihrerseits von "le revenu et la fortune imposables" und "al reddito e alla sostanza imponibili", also dem steuerbaren Einkommen und dem ebenso steuerbaren Vermögen. Zur Berechnung der Grenzwerte in Direktzahlungssachen ist somit nicht ein irgendwie zu berechnendes, sondern grundsätzlich das steuerbare Vermögen massgebend.</w:t>
      </w:r>
    </w:p>
    <w:p>
      <w:r>
        <w:rPr>
          <w:b/>
        </w:rPr>
        <w:t>E. 2.1</w:t>
      </w:r>
    </w:p>
    <w:p>
      <w:r>
        <w:t>Die Delegationsnorm in Art. 70 Abs. 5 Bst. f LwG statuiert eine grundsätzlich steuerrechtliche Betrachtungsweise (vgl. Urteil des Bundesverwaltungsgerichts B-1456/2007 vom 16. Januar 2008, Erw. 2.1). Da bei der Bestimmung des steuerbaren Vermögens nicht, wie für die Bemessung des steuerbaren Einkommens, auf ein gesamtschweizerisch einheitliches Bundesgesetz wie das Bundesgesetz über die direkte Bundessteuer vom 14. Dezember 1990 (DBG, SR 642.11) zurückgegriffen werden kann, kommt zur Berechnung des steuerbaren Vermögens kantonales Steuerrecht zur Anwendung.</w:t>
      </w:r>
    </w:p>
    <w:p>
      <w:r>
        <w:rPr>
          <w:b/>
        </w:rPr>
        <w:t>E. 2.2</w:t>
      </w:r>
    </w:p>
    <w:p>
      <w:r>
        <w:t>Nach Art. 70 Abs. 5 Bst. f LwG bestimmt der Bundesrat für den Bezug der allgemeinen Direktzahlungen Grenzwerte bezüglich steuerbarem Einkommen und Vermögen, ab denen die Summe der Beiträge gekürzt wird oder keine Beiträge ausgerichtet werden. Die Grenzwerte und Abzugsmöglichkeiten bei der Ermittlung des steuerbaren Vermögens werden in Art. 23 DZV konkretisiert. Art. 23 Abs. 3 DZV hält fest, dass keine Direktzahlungen ausgerichtet werden, wenn das massgebliche Vermögen 1 Mio. Franken übersteigt. In Bezug auf die heranzuziehenden Veranlagungsperioden hält Art. 24 DZV fest, dass die Werte der letzten zwei Steuerjahre massgebend sind, die bis zum Ende des Betriebsjahres rechtskräftig veranlagt worden sind. Liegen diese Zahlen mehr als vier Jahre zurück, ist auf die provisorische Veranlagung abzustellen. Aus Art. 24 DZV ergibt sich, dass nur rechtskräftige Steuerveranlagungen zur Berechnung herangezogen werden dürfen, es sei denn, diese liegen weiter als vier Jahre zurück, was auf den vorliegenden Fall jedoch nicht zutrifft.</w:t>
      </w:r>
    </w:p>
    <w:p>
      <w:r>
        <w:rPr>
          <w:b/>
        </w:rPr>
        <w:t>E. 2.3</w:t>
      </w:r>
    </w:p>
    <w:p>
      <w:r>
        <w:t>Die Beschwerdeführer machen nicht geltend, ihr steurbares Vermögen sei nicht richtig festgestellt worden und sie bestreiten auch nicht, dass ihr definitiv veranlagtes Vermögen des Jahres 2002 den Grenzwert von 1 Mio. Franken deutlich übersteigt. Vielmehr rügen sie, der vom Bundesrat in Art. 23 Abs. 3 DZV festgelegte Grenzwert verstosse gegen die Bundesverfassung und die EMRK. Wie bereits die Baudirektion und der Regierungsrat in ihren Rekursentscheiden festgehalten haben, enthält Art. 70 Abs. 5 Bst. f LwG eine Ermächtigung an den Bundesrat, Vermögensgrenzen für die Ausrichtung von Direktzahlungen vorzusehen. Es liegt somit eine vom Gesetz eingeräumte Delegation an den Verordnungsgeber vor.</w:t>
      </w:r>
    </w:p>
    <w:p>
      <w:r>
        <w:rPr>
          <w:b/>
        </w:rPr>
        <w:t>E. 2.4</w:t>
      </w:r>
    </w:p>
    <w:p>
      <w:r>
        <w:t>Nach ständiger Rechtsprechung des Bundesgerichts muss die Übertragung von Rechtssetzungsbefugnissen an die Regierung oder ein anderes Organ in einem Gesetz im formellen Sinn vorgesehen sein und sich auf ein bestimmtes, genau umschriebenes Sachgebiet beschränken. Weiter müssen die Grundzüge der Regelung im delegierenden Gesetz selbst enthalten sein (statt vieler: Ulrich Häfelin/Georg Müller/Felix Uhlmann, Allgemeines Verwaltungsrecht, 5. A., Zürich/Basel/Genf 2006, Rz. 407 mit Hinweis auf BGE 128 I 113, 122). Ebenso sieht Art. 164 Abs. 2 BV die Übertragung von Rechtssetzungsbefugnissen durch Bundesgesetz vor, soweit dies nicht durch die Bundesverfassung ausgeschlossen wird.</w:t>
      </w:r>
    </w:p>
    <w:p>
      <w:r>
        <w:rPr>
          <w:b/>
        </w:rPr>
        <w:t>E. 2.5</w:t>
      </w:r>
    </w:p>
    <w:p>
      <w:r>
        <w:t>Das Landwirtschaftsgesetz ist ein Bundesgesetz und damit ein Gesetz im formellen Sinn. Art. 70 Abs. 5 Bst. f LwG räumt dem Bundesrat die detailliert umschriebene Rechtsetzungskompetenz ein, Grenzwerte bezüglich steuerbarem Vermögen festzusetzen, ab denen die Beiträge gekürzt oder keine Beiträge ausgerichtet werden. Ebenso sieht die Bestimmung vor, dass für verheiratete Bewirtschafterinnen oder Bewirtschafter höhere Grenzwerte festgelegt werden. Damit liegt eine gültige Delegation im Sinne der Rechtsprechung vor, die Delegation wird auch nicht durch die Bundesverfassung ausgeschlossen. Somit ist die vom Bundesrat festgelegte Vermögensobergrenze rechtmässig.</w:t>
      </w:r>
    </w:p>
    <w:p>
      <w:r>
        <w:rPr>
          <w:b/>
        </w:rPr>
        <w:t>E. 2.6</w:t>
      </w:r>
    </w:p>
    <w:p>
      <w:r>
        <w:t>Art. 190 BV erklärt Bundesgesetze und Völkerrecht für das Bundesgericht und die anderen rechtsanwendenden Behörden für massgebend, was heisst, dass das Gericht an gültige Normen gebunden ist und diese nicht auf Verfassungsmässigkeit hin überprüft. Wie auch schon in den Erwägungen der Baudirektion und des Regierungsrates festgestellt, stossen die Rügen der Beschwerdeführer, der angefochtene Entscheid verletze die Bundesverfassung, somit ins Leere, und es ist nicht weiter auf diese einzugehen.</w:t>
      </w:r>
    </w:p>
    <w:p>
      <w:r>
        <w:rPr>
          <w:b/>
        </w:rPr>
        <w:t>E. 2.7</w:t>
      </w:r>
    </w:p>
    <w:p>
      <w:r>
        <w:t>Im Weiteren lassen die Beschwerdeführer vorbringen, das alleinige Abstellen auf das Vermögen treffe eine Unterscheidung, die sich mit Blick auf den Grundsatz, dass Gleiches nach Massgabe seiner Gleichheit gleich und Ungleiches nach Massgabe seiner Ungleichheit ungleich zu behandeln sei, nicht aufrechterhalten lasse. Es finde eine Diskriminierung der Landwirte mit über 1 Mio. Franken Vermögen gegenüber den anderen allein gestützt auf das Vermögen statt. Da es sich bei den Direktzahlungen um Lohn für geleistete Arbeit handle, halte diese Unterscheidung vor Art. 8 BV und Art. 14 EMRK nicht stand. Die Regelung verletze auch Art. 12 EMRK, da sie Verheiratete und Nichtverheiratete nicht gleich behandle.</w:t>
      </w:r>
    </w:p>
    <w:p>
      <w:r>
        <w:rPr>
          <w:b/>
        </w:rPr>
        <w:t>E. 2.7.1</w:t>
      </w:r>
    </w:p>
    <w:p>
      <w:r>
        <w:t>Eine unterschiedliche Behandlung ist nur dann diskriminierend, wenn sie sachlich nicht gerechtfertigt und unverhältnismässig ist, d.h. zwischen den eingesetzten Mitteln und dem verfolgten Zweck kein vernünftiges Verhältnis besteht. Das Diskriminierungsverbot bedeutet also nicht, dass jede Person in den von der Konvention geschützten Rechten genau gleich behandelt werden müsste. Eine Verschiedenheit in der rechtlichen Behandlung ist nur verboten, wenn sie innerlich unbegründet ist (Arthur Haefliger/Frank Schürmann, Die Europäische Menschenrechtskonvention und die Schweiz, 2. A., Bern 1999, S. 323 mit Hinweisen). Entgegen den Behauptungen der Beschwerdeführer werden verheiratete Bewirtschafterinnen und Bewirtschafter bei der Festlegung der Vermögensobergrenzen nicht benachteiligt. Gemäss Art. 23 Abs. 1 DZV ist das massgebende Vermögen das steuerbare Vermögen, vermindert um Fr. 240'000.- pro Standardarbeitskraft und um weitere Fr. 300'000.- für verheiratete Bewirtschafterinnen und Bewirtschafter. Dieser zusätzliche Abzug und damit eine Verminderung des massgebenden Vermögens wird gerade damit gerechtfertigt, dass verheiratete Paare bei der Begrenzung der Direktzahlungen aufgrund des massgeblichen Vermögens gegenüber Unverheirateten nicht benachteiligt werden sollen. Diese Unterscheidung ist sachlich gerechtfertigt und verstösst somit nicht gegen das Diskriminierungsverbot. Art. 23 Abs. 3 DZV legt als Obergrenze des massgeblichen Vermögens, ab welcher gar keine Direktzahlungen mehr ausgerichtet werden, 1 Mio. Franken fest. Auf weitere Ausführungen zu diesem Punkt kann insbesondere auch deswegen verzichtet werden, weil das massgebende Vermögen der Beschwerdeführer die Obergrenze von 1 Mio. Franken um ein Vielfaches übersteigt.</w:t>
      </w:r>
    </w:p>
    <w:p>
      <w:r>
        <w:rPr>
          <w:b/>
        </w:rPr>
        <w:t>E. 2.7.2</w:t>
      </w:r>
    </w:p>
    <w:p>
      <w:r>
        <w:t>Wie bereits ausgeführt, ist nach Art. 70 Abs. 5 Bst. f LwG und nach Art. 23 DZV das steuerbare Vermögen für die Festlegung des Anspruchs auf Direktzahlungen massgebend. Die Beschwerdeführer legen nicht dar, inwiefern Art. 12 und 14 EMRK durch die Anwendbarkeit der steuerrechtlichen Grundsätze verletzt wären. Damit sind ihre Rügen nicht substantiiert. Sie beschränken sich vielmehr auf appellatorische Kritik, die allenfalls im Gesetzgebungsverfahren vorzubringen wäre.</w:t>
      </w:r>
    </w:p>
    <w:p>
      <w:r>
        <w:rPr>
          <w:b/>
        </w:rPr>
        <w:t>E. 3</w:t>
      </w:r>
    </w:p>
    <w:p>
      <w:r>
        <w:t>Als Nächstes bringen die Beschwerdeführer vor, die Rückforderungsansprüche seien verjährt, da dafür das Auszahlungsdatum der irrtümlich ausgerichteten Direktzahlungen massgebend sei. Wie der angefochtene Entscheid des Regierungsrates vom 18. Juli 2007 ausführlich darlegt, kommen für die Rückforderung von Direktzahlungen Art. 171 Abs. 2 LwG und Art. 30 SuG zur Anwendung. Wie die Vorinstanz zutreffend ausführt, sind die Voraussetzungen für den Widerruf der Direktzahlungen gestützt auf Art. 30 Abs. 1 SuG gegeben, und es liegen keine Gründe für einen Verzicht nach Art. 30 Abs. 2 SuG vor. Die Verjährung richtet sich nach Art. 32 Abs. 2 SuG, welcher bestimmt, dass der Anspruch auf Rückerstattung von Finanzhilfen und Abgeltungen ein Jahr, nachdem die verfügende oder den Vertrag abschliessende Behörde vom Rechtsgrund des Anspruchs Kenntnis erhalten hat, verjährt, in jedem Falle aber zehn Jahre nach der Entstehung des Anspruchs. Da das ALN bei der Auszahlung der streitigen Direktzahlungen einem Irrtum unterlegen ist, der erst Ende 2005 aufgedeckt worden ist, wurde die relative Verjährungsfrist durch die Reaktion des ALN mittels Schreibens vom 28. November 2005 an die Beschwerdeführer unterbrochen. Die Rückforderungsansprüche sind damit nicht verjährt, und es kann auf die zutreffenden Erwägung der Vorinstanz (Erw. 4 mit Verweis auf Erw. 7 des Rekursentscheids der Baudirektion) verwiesen werden. Dieser rechtlichen Würdigung durch die Vorinstanz ist nichts beizufügen.</w:t>
      </w:r>
    </w:p>
    <w:p>
      <w:r>
        <w:rPr>
          <w:b/>
        </w:rPr>
        <w:t>E. 4</w:t>
      </w:r>
    </w:p>
    <w:p>
      <w:r>
        <w:t>Schliesslich bringen die Beschwerdeführer vor, vom ALN seien zu Unrecht Verzugszinsen erhoben worden. Auch in diesem Punkt verletzt der angefochtene Entscheid kein Bundesrecht (vgl. Art. 49 Bst. a VwVG). Art. 30 Abs. 3 SuG bestimmt, dass die Behörde mit dem Widerruf die bereits ausgerichteten Leistungen zurückfordert und, sofern der Empfänger schuldhaft gehandelt hat, zudem einen Zins von jährlich 5 Prozent seit der Auszahlung erhebt. Es ist schlüssig und nachvollziehbar, dass die Beschwerdeführer schuldhaft im Sinne dieser Bestimmung gehandelt haben, wenn sie, obwohl sie davor nie Direktzahlungen erhalten haben, aufgrund der Auszahlung von über Fr. 70'000.- in den Jahren 2003 und 2004 und von rund Fr. 34'000.- im Jahr 2005 (erste Tranche) sich nicht mit dem ALN in Verbindung gesetzt und nachgefragt haben, weshalb sie trotz ihrer fehlenden Angaben in der Vermögensdeklaration auf einmal Direktzahlungen erhielten. Die Behauptungen der Beschwerdeführer, sie seien davon ausgegangen, mit ihrer rechtlichen Argumentation endlich durchgedrungen zu sein oder der Bundesrat habe die Vermögensgrenze aufgehoben, sind demgegenüber wenig überzeugend. Wie die Vorinstanz zutreffend ausführt, hätte das ALN auch für die im Jahr 2005 irrtümlich ausgerichteten Beiträge Zinsen erheben können. Die Beschwerde ist daher auch in diesem Punkt abzuweisen.</w:t>
      </w:r>
    </w:p>
    <w:p>
      <w:r>
        <w:rPr>
          <w:b/>
        </w:rPr>
        <w:t>E. 5</w:t>
      </w:r>
    </w:p>
    <w:p>
      <w:r>
        <w:t>Da die Beschwerdeführer vollumfänglich unterliegen, sind ihnen gestützt auf Art. 63 Abs. 1 VwVG die Verfahrenskosten von Fr. 1'200.- aufzuerlegen. Sie werden nach Eintritt der Rechtskraft diese Urteils mit den am 17. September 2007 geleisteten Kostenvorschüssen von je Fr. 600.- verrechnet.</w:t>
      </w:r>
    </w:p>
    <w:p>
      <w:r>
        <w:rPr>
          <w:b/>
        </w:rPr>
        <w:t>E. 6</w:t>
      </w:r>
    </w:p>
    <w:p>
      <w:r>
        <w:t>Bei diesem Verfahrensausgang haben die Beschwerdeführer keinen Anspruch auf eine Parteientschädigung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