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B-5572/2021 vom 10. Januar 2022</w:t>
      </w:r>
    </w:p>
    <w:p>
      <w:r>
        <w:t>Bundesverwaltungsgericht, 2022-01-10, DE</w:t>
      </w:r>
    </w:p>
    <w:p>
      <w:r>
        <w:rPr>
          <w:b/>
        </w:rPr>
        <w:t xml:space="preserve">Quelle: </w:t>
      </w:r>
      <w:r>
        <w:t>https://mcp.opencaselaw.ch/entscheid/bvger_B-5572_2021_d20220110</w:t>
      </w:r>
    </w:p>
    <w:p>
      <w:r>
        <w:t>FR: TAF B-5572/2021 du 10 janvier 2022</w:t>
      </w:r>
    </w:p>
    <w:p>
      <w:r>
        <w:t>IT: TAF B-5572/2021 del 10 gennaio 2022</w:t>
      </w:r>
    </w:p>
    <w:p>
      <w:pPr>
        <w:pStyle w:val="Heading2"/>
      </w:pPr>
      <w:r>
        <w:t>Regeste</w:t>
      </w:r>
    </w:p>
    <w:p>
      <w:r>
        <w:t>Arbeitsleistung im &amp;ouml;ffentlichen Interesse (Zivildienst) | Zulassung zum Zivildienst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Begehren des Beschwerdeführers, es sei vorsorglich die Gültigkeit des Marschbefehls betreffend die Rekrutenschule (...) (Antritt: 17. Januar 2022) festzustellen, wird abgewiesen.</w:t>
      </w:r>
    </w:p>
    <w:p>
      <w:r>
        <w:rPr>
          <w:b/>
        </w:rPr>
        <w:t>E. 2</w:t>
      </w:r>
    </w:p>
    <w:p>
      <w:r>
        <w:t>Dem Beschwerdeführer steht es frei, im Hauptverfahren bis zum 31. Januar 2022 Stellung zur Vernehmlassung der Vorinstanz zu nehmen.</w:t>
      </w:r>
    </w:p>
    <w:p>
      <w:r>
        <w:rPr>
          <w:b/>
        </w:rPr>
        <w:t>E. 3</w:t>
      </w:r>
    </w:p>
    <w:p>
      <w:r>
        <w:t>Diese Verfügung geht an den Beschwerdeführer, die Vorinstanz, an die Zentralstelle des Bundesamtes für Zivildienst sowie zur Kenntnis an das Kommando Ausbildung. Der Instruktionsrichter: Der Gerichtsschreiber: Marc Steiner Cyrill Schäke Versand: 10. Januar 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