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B-5546/2021 vom 2. März 2022</w:t>
      </w:r>
    </w:p>
    <w:p>
      <w:r>
        <w:t>Bundesverwaltungsgericht, 2022-03-02, DE</w:t>
      </w:r>
    </w:p>
    <w:p>
      <w:r>
        <w:rPr>
          <w:b/>
        </w:rPr>
        <w:t xml:space="preserve">Quelle: </w:t>
      </w:r>
      <w:r>
        <w:t>https://mcp.opencaselaw.ch/entscheid/bvger_B-5546_2021</w:t>
      </w:r>
    </w:p>
    <w:p>
      <w:r>
        <w:t>FR: TAF B-5546/2021 du 2 mars 2022</w:t>
      </w:r>
    </w:p>
    <w:p>
      <w:r>
        <w:t>IT: TAF B-5546/2021 del 2 marzo 2022</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VGG). Als Widersprechende und Adressatin der angefochtenen Verfügung ist die Beschwerdeführerin durch diese beschwert und hat ein schutzwürdiges Interesse an deren Aufhebung oder Änderung. Sie ist daher zur Beschwerdeführung legitimiert (Art. 48 Abs. 1 Bst. a-c VwVG).</w:t>
      </w:r>
    </w:p>
    <w:p>
      <w:r>
        <w:rPr>
          <w:b/>
        </w:rPr>
        <w:t>E. 1.2</w:t>
      </w:r>
    </w:p>
    <w:p>
      <w:r>
        <w:t>Die Beschwerdeschrift hat neben anderen Erfordernissen eine Begründung zu enthalten; fehlt eine solche, so räumt die Beschwerdeinstanz dem Beschwerdeführer eine kurze Nachfrist zur Verbesserung ein, sofern sich die Beschwerde nicht als offensichtlich unzulässig herausstellt (Art. 52 Abs. 1 und Abs. 2 VwVG). Diese Verbesserungsfrist bezweckt, aus Versehen oder Unkenntnis begangene Unterlassungen zu beheben, obwohl das Gesetz nicht zwischen freiwilligen und unfreiwilligen Unterlassungen unterscheidet. Die Regel soll einen überspitzten Formalismus vermeiden, indem sie den Betroffenen die Möglichkeit gewährt ein Versäumnis zu beseitigen. Reicht aber jemand bewusst eine mangelhafte Beschwerde ein um einzig eine Verlängerung der Beschwerdefrist herbeizuführen, benutzt er diese Regelung in zweckwidriger Weise. Bei einem offensichtlichen Rechtsmissbrauch besteht darum kein Anspruch, die mangelhafte Beschwerdeschrift innert Nachfrist zu verbessern (BGE 142 I 10 E. 2.4.7; 134 II 244 E. 2.4.2; 121 II 252 E. 4b; Urteil des BVGer B-4552/2020 vom 7. Juli 2021 in: sic! 2021, S. 677 E. 1.2 "E*trade [fig.]/ e trader [fig.]"; André Moser/ Michael Beusch/ Lorenz Kneubühler, Prozessieren vor dem Bundesverwaltungsgericht, 2. Aufl. 2013, N. 2.236).</w:t>
      </w:r>
    </w:p>
    <w:p>
      <w:r>
        <w:rPr>
          <w:b/>
        </w:rPr>
        <w:t>E. 1.3</w:t>
      </w:r>
    </w:p>
    <w:p>
      <w:r>
        <w:t>Eine fehlende Begründung macht eine Beschwerde darum nicht von vornherein offensichtlich unzulässig (Frank Seethaler/ Fabia Portmann, in: Praxiskommentar Verwaltungsverfahrensgesetz, 2. Aufl. 2016, Art. 52 VwVG, N. 105). Wird die Beschwerde ohne Begründung eingereicht, erweckt sie aber den Verdacht, sie sei bewusst mangelhaft erhoben, ist - wenn ihr die Nachfrist nicht sogleich verweigert wird (vgl. BGE 121 II 252 E. 4b) - anhand der nachgereichten Begründung zu prüfen, ob sie zuvor bewusst oder allenfalls "unverschuldeterweise" (Art. 24 Abs. 1 VwVG) unterlassen wurde. Die Gewährung der Nachfrist heilt den formellen Mangel also nicht, sondern es ist im Lichte der Beschwerdebegründung über die Erfüllung der Eintretensvoraussetzungen zu entscheiden (vgl. Urteil des BVGer B-4552/2020 vom 7. Juli 2021 in: sic! 2021, S. 677 E. 1.3 "E*trade [fig.]/ e trader [fig.]"; Alfred Kölz/ Isabelle Häner/ Martin Bertschi, Verwaltungsverfahren und Verwaltungsrechtspflege des Bundes, 3. Aufl. Zürich 2013, N. 1014; André Moser/ Michael Beusch/ Lorenz Kneubühler, a.a.O., N. 2.235a). Die Begründung der Beschwerde bildet dabei grundsätzlich ein Gültigkeitserfordernis (vgl. Rhinow et al., Öffentliches Prozessrecht, 4. Aufl. Basel 2021, N. 1619).</w:t>
      </w:r>
    </w:p>
    <w:p>
      <w:r>
        <w:rPr>
          <w:b/>
        </w:rPr>
        <w:t>E. 1.4</w:t>
      </w:r>
    </w:p>
    <w:p>
      <w:r>
        <w:t>Das Sistierungsbegehren stellte die anwaltlich vertretene Beschwerdeführerin mit der Begründung, gestützt auf Art. 33b VwVG könne der Richter aus Gründen der Zweckmässigkeit das Verfahren aussetzen, insbesondere wenn das Urteil von der Entscheidung in einem anderen Rechtsstreit beeinflusst werden kann. Gleichzeitig verzichtete die Beschwerdeführerin darauf, eine schriftliche Begründung einzureichen, und behielt sich im Lichte von Art. 32 Abs. 2 VwVG das Recht vor, dies noch nachzuholen (vgl. Beschwerde vom 21. Dezember 2021 Ziff. 6 f.).</w:t>
      </w:r>
    </w:p>
    <w:p>
      <w:r>
        <w:rPr>
          <w:b/>
        </w:rPr>
        <w:t>E. 1.5</w:t>
      </w:r>
    </w:p>
    <w:p>
      <w:r>
        <w:t>Die materielle Begründung ihrer Anträge reichte die Beschwerdeführerin am 23. Februar 2022 nach. In prozessualer Hinsicht stellt sie sich auf den Standpunkt, darin liege kein offensichtlicher Rechtsmissbrauch. Die Beschwerdeführerin sei gutgläubig davon ausgegangen, dass das Beschwerdeverfahren aufgrund der Parallelverfahren Nr. 101608 und 101609 bei der Vorinstanz aus Gründen der Zweckmässigkeit sistiert werden würde. Zudem habe der Vertreter der Beschwerdegegnerin in einem anderen Beschwerdeverfahren (B-303/2022) den Vertretern der Beschwerdeführerin mündlich zugesichert, die Beschwerdegegnerin sei, aufgrund der laufenden Vergleichsgespräche zwischen den Parteien, mit der Sistierung des Beschwerdeverfahrens einverstanden. Daher sei die Beschwerdeführerin freilich davon ausgegangen, die Beschwerdegegnerin werde auch in diesem Verfahren die Zusicherung abgeben. Das Vorgehen der Beschwerdeführerin sei daher einzig prozessökonomisch motiviert gewesen (vgl. Stellungnahme vom 23. Februar 2022 Ziff. 4-6).</w:t>
      </w:r>
    </w:p>
    <w:p>
      <w:r>
        <w:rPr>
          <w:b/>
        </w:rPr>
        <w:t>E. 1.6</w:t>
      </w:r>
    </w:p>
    <w:p>
      <w:r>
        <w:t>Insofern geht die Beschwerdeführerin fälschlicherweise davon aus, sie könne bei Zweckmässigkeit einer Sistierung auf die materielle Begründung ihrer Hauptanträge verzichten. Entgegen ihrer Auffassung bleibt die Begründung aber auch in diesem Fall eine formale Anforderung der Beschwerde. In der Beschwerdebegründung vom 23. Februar 2022 belegt sie nicht weiter, weshalb sie die Beschwerde unbewusst mangelhaft eingereicht hat oder dass sie unverschuldeterweise abgehalten worden sei, binnen Frist zu handeln. Selbst in der Annahme, es seien Sistierungsgründe vorhanden, hätte sie zusammen mit ihren Begehren Gründe im Sinne von Art. 49 VwVG vorbringen müssen, damit diese zu gegebener Zeit durch die Beschwerdebehörde hätten überprüft werden können. Auch erhob und begründete sie keine formellen Rügen, die es im Einzelfall hätten rechtfertigen können auf eine materielle Begründung zu verzichten (vgl. BGE 118 V 311 E. 3.a).</w:t>
      </w:r>
    </w:p>
    <w:p>
      <w:r>
        <w:rPr>
          <w:b/>
        </w:rPr>
        <w:t>E. 1.7</w:t>
      </w:r>
    </w:p>
    <w:p>
      <w:r>
        <w:t>Vielmehr stellt das Verhalten der Beschwerdeführerin eine Verzögerungstaktik dar; was sie mit ihrem Antrag auf Durchführung einer öffentlichen Verhandlung vom 14. Februar 2022 nochmals bekräftigt hat. Denn aufgrund der Akten sind keine Gründe ersichtlich, wieso sie nicht rechtzeitig und vollständig eine Beschwerdebegründung hätte einreichen bzw. sich nicht früher hätte ausreichend äussern können. Das Vorgehen der Beschwerdeführerin - mittels einem Sistierungsbegehren die Einreichung einer Begründung aufzuschieben und erst falls nötig zu handeln - erscheint rechtsmissbräuchlich und dient nicht dem Rechtsfrieden.</w:t>
      </w:r>
    </w:p>
    <w:p>
      <w:r>
        <w:rPr>
          <w:b/>
        </w:rPr>
        <w:t>E. 1.8</w:t>
      </w:r>
    </w:p>
    <w:p>
      <w:r>
        <w:t>Zusammenfassend ist die Beschwerde mit einem Formmangel behaftet, der mittels Nachreichung der Begründung nicht geheilt werden kann. Die Beschwerde erweist sich damit als unzulässig, weshalb auf sie nicht einzutreten ist.</w:t>
      </w:r>
    </w:p>
    <w:p>
      <w:r>
        <w:rPr>
          <w:b/>
        </w:rPr>
        <w:t>E. 2</w:t>
      </w:r>
    </w:p>
    <w:p>
      <w:r>
        <w:t>Bei diesem Ausgang des Verfahrens wird die Beschwerdeführerin kosten- und entschädigungspflichtig (Art. 63 Abs. 1 VwVG; Art. 64 Abs. 1 VwVG).</w:t>
      </w:r>
    </w:p>
    <w:p>
      <w:r>
        <w:rPr>
          <w:b/>
        </w:rPr>
        <w:t>E. 2.1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3'000.- festzulegen. Dieser Betrag ist mit dem geleisteten Kostenvorschuss in der Höhe von Fr. 4'500.- zu verrechnen und der Restbetrag der Beschwerdeführerin zurückzuerstatten.</w:t>
      </w:r>
    </w:p>
    <w:p>
      <w:r>
        <w:rPr>
          <w:b/>
        </w:rPr>
        <w:t>E. 2.2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Der Rechtsvertreter der Beschwerdegegnerin hat dem Bundesverwaltungsgericht keine Kostennote eingereicht. Im vorliegenden Fall wurde ein einfacher Schriftenwechsel durchgeführt. Bei dieser Aktenlage erscheint eine Parteientschädigung von Fr. 800.- (inkl. MWST) für das Beschwerdeverfahren angemessen. Der Vorinstanz als Bundesbehörde ist keine Parteientschädigung auszurichten (Art. 7 Abs. 3 VGKE).</w:t>
      </w:r>
    </w:p>
    <w:p>
      <w:r>
        <w:rPr>
          <w:b/>
        </w:rPr>
        <w:t>E. 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