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B-5440/2008 vom 24. Juli 2009</w:t>
      </w:r>
    </w:p>
    <w:p>
      <w:r>
        <w:t>Bundesverwaltungsgericht, 2009-07-24, FR</w:t>
      </w:r>
    </w:p>
    <w:p>
      <w:r>
        <w:rPr>
          <w:b/>
        </w:rPr>
        <w:t xml:space="preserve">Quelle: </w:t>
      </w:r>
      <w:r>
        <w:t>https://mcp.opencaselaw.ch/entscheid/bvger_B-5440_2008</w:t>
      </w:r>
    </w:p>
    <w:p>
      <w:r>
        <w:t>FR: TAF B-5440/2008 du 24 juillet 2009</w:t>
      </w:r>
    </w:p>
    <w:p>
      <w:r>
        <w:t>IT: TAF B-5440/2008 del 24 luglio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attaquée revêt la qualité de décision sur opposition au sens de l'art. 5 al. 2 PA qui émane d'une autorité au sens de l'art. 33 let. e LTAF.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22a al. 1 let. b, 50 et 52 al. 1 PA) ainsi que les autres conditions de recevabilité (art. 44 ss et 63 al. 4 PA) sont respectées. Le recours est donc recevable.</w:t>
      </w:r>
    </w:p>
    <w:p>
      <w:r>
        <w:rPr>
          <w:b/>
        </w:rPr>
        <w:t>E. 2</w:t>
      </w:r>
    </w:p>
    <w:p>
      <w:r>
        <w:t>En l'espèce, la marque internationale opposante n° 851'969 «JUMP» (fig.) a fait l'objet d'une renonciation en date du 19 février 2008 et a été radiée pour tous les produits et services à la demande de l'Office d'origine. Dite radiation a été inscrite au registre international des marques le 10 juillet 2008, soit après la décision attaquée de l'IPI (25 juin 2008). En application de l'art. 9quinquies du Protocole de Madrid - repris à l'art. 46a al. 1 de la loi fédérale du 28 août 1992 sur la protection des marques (LPM, RS 232.11) -, la recourante a déposé une requête en transformation d'un enregistrement international en demande d'enregistrement national auprès de l'Institut fédéral le 25 septembre 2008, soit au cours de la présente procédure de recours. Le 5 mars 2009, l'Institut fédéral a procédé à l'enregistrement de la marque suisse n° 583'834 «JUMP» (fig.) et, ainsi, confirmé la transformation de l'enregistrement international. Il convient d'examiner quels effets la transformation en marque suisse de l'enregistrement international produit sur la présente procédure de recours.</w:t>
      </w:r>
    </w:p>
    <w:p>
      <w:r>
        <w:rPr>
          <w:b/>
        </w:rPr>
        <w:t>E. 2.1</w:t>
      </w:r>
    </w:p>
    <w:p>
      <w:r>
        <w:t>La recourante souligne que la marque suisse n° 583'834 «JUMP» (fig.) reprend tous les attributs de l'enregistrement international déchu, y compris la date de l'enregistrement international. Elle considère que le présent recours n'est en conséquence pas privé d'objet. Pour sa part, l'intimée soutient que la transformation de la marque internationale n° 851'969 en marque suisse n° 583'834 et la substitution de celle-ci en tant que marque de base de l'opposition, objet du présent recours, introduit un nouvel état de fait incompatible avec la procédure d'opposition telle que voulue par le législateur. Elle ajoute que, lors du dépôt de l'opposition, le numéro de l'enregistrement sur lequel se fonde l'opposition doit être indiqué précisément tout comme celui de la marque attaquée. Selon elle, la marque internationale n° 851'969 ayant été radiée, l'opposition et le présent recours sont devenus sans objet. Quant à l'Institut fédéral, il ne s'est pas prononcé sur cette question.</w:t>
      </w:r>
    </w:p>
    <w:p>
      <w:r>
        <w:rPr>
          <w:b/>
        </w:rPr>
        <w:t>E. 2.2</w:t>
      </w:r>
    </w:p>
    <w:p>
      <w:r>
        <w:t>L'art. 46a LPM vise à atténuer les effets de l'étroite dépendance entre l'enregistrement ou la demande de base et l'enregistrement international (message du Conseil fédéral du 27 mars 1996 concernant un arrêté fédéral relatif à deux traités internationaux relevant du droit des marques ainsi que la modification de la loi sur la protection des marques [FF 1996 II 1393 ss, 1410 ; ci-après : le Message] ; Christoph Willi, Kommentar zum schweizerischen Markenrecht unter Berücksichtigung des europäischen und internationalen Markenrechts, Zurich 2002, MSchG, ad art. 46a n° 2 ; Christian Bock, Änderungen im nationalen Markenschutz (1997), in : sic! 2/1997 229 ss, 232 ; voir également Jérome Passa, Droit de la propriété industrielle, Tome 1, Marques et autres signes distinctifs, dessins et modèles, Paris 2006, p. 571). Le motif de l'extinction de la demande ou de l'enregistrement international n'importe pas (Message, p. 1410). L'art. 51 de l'ordonnance du 23 décembre 1992 sur la protection des marques (OPM, RS 232.111) reprend la même idée en prévoyant la possibilité de suspendre la procédure : lorsque l'opposition repose sur un enregistrement international qui fait l'objet d'un refus de protection provisoire par l'Institut fédéral, ce dernier peut suspendre la procédure d'opposition jusqu'à ce qu'il ait été définitivement statué sur le refus de protection (al. 1). Si l'enregistrement international devient caduc et qu'une transformation en une demande d'enregistrement national selon l'art. 46a LPM est possible, l'Institut fédéral peut suspendre la procédure d'opposition jusqu'à la date de la transformation (al. 2). La possibilité de suspendre la procédure d'opposition jusqu'à droit connu sur la requête de transformation de l'enregistrement international en demande d'enregistrement national (art. 51 al. 2 OPM) signifie bien qu'en cas de transformation, la procédure d'opposition n'est pas déclarée sans objet, mais est au contraire poursuivie. C'est dire que la marque nationale résultant d'une transformation est identique à la marque internationale devenue caduque.</w:t>
      </w:r>
    </w:p>
    <w:p>
      <w:r>
        <w:rPr>
          <w:b/>
        </w:rPr>
        <w:t>E. 2.3</w:t>
      </w:r>
    </w:p>
    <w:p>
      <w:r>
        <w:t>Il ressort de ce qui précède (cf. consid. 2.2 ci-dessus) que, contrairement à l'opinion de l'intimée, la transformation de la marque internationale n° 851'969 en marque suisse n° 583'834 n'introduit pas un nouvel état de fait, même si formellement le numéro de la marque ainsi que le registre changent. En effet, la marque nationale résultant de la transformation est identique à la marque internationale devenue caduque. Il s'ensuit que la présente procédure ne devient pas sans objet, dès lors que la marque suisse n° 583'834 «JUMP» (fig.) remplace la marque internationale n° 851'969 «JUMP» (fig.) en tant que marque opposante.</w:t>
      </w:r>
    </w:p>
    <w:p>
      <w:r>
        <w:rPr>
          <w:b/>
        </w:rPr>
        <w:t>E. 3</w:t>
      </w:r>
    </w:p>
    <w:p>
      <w:r>
        <w:t>La marque est un signe propre à distinguer les produits ou les services d'une entreprise de ceux d'autres entreprises (art. 1 al. 1 LPM). A teneur de l'art. 3 al. 1 let. c LPM, sont exclus de la protection comme marque les signes similaires à une marque antérieure et destinés à des produits identiques ou similaires lorsqu'il en résulte un risque de confusion. En l'espèce, la marque suisse n° 583'834 «JUMP» (fig.) a été enregistrée le 5 mars 2009, avec pour date de dépôt celle de l'enregistrement international n° 851'969 «JUMP» (fig.) déchu. Bénéficiant ainsi d'une priorité au 27 avril 2005 selon la Convention de Paris pour la protection de la propriété industrielle révisée à Stockholm le 14 juillet 1967 (CUP, RS 0.232.04), elle est antérieure à la marque suisse n° 566'121 «JUMPMAN».</w:t>
      </w:r>
    </w:p>
    <w:p>
      <w:r>
        <w:rPr>
          <w:b/>
        </w:rPr>
        <w:t>E. 4</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B-8011/2007 du 24 octobre 2008 consid. 3 EMOTION/e motion).</w:t>
      </w:r>
    </w:p>
    <w:p>
      <w:r>
        <w:rPr>
          <w:b/>
        </w:rPr>
        <w:t>E. 4.1</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(Lucas David, Kommentar zum schweizerischen Privatrecht, Markenschutzgesetz, Muster- und Modellgesetz, 2e éd., Bâle 1999, MSchG, n° 8 et 35 ad art. 3 ; arrêt du Tribunal administratif fédéral B-3268/2007 du 25 janvier 2008 consid. 3.1 MBR/MR). En l'espèce, la marque opposante est protégée pour les produits de la classe 25 suivants : chaussures, chaussons. Quant à l'intimée, elle revendique la protection de la marque attaquée pour les produits de la classe 25 suivants : vêtements, chaussures, chapellerie. Il convient de conclure, à l'instar de l'Institut fédéral, à l'identité des produits pour les chaussures et à la similarité pour les vêtements et la chapellerie (voir notamment arrêt du Tribunal administratif fédéral B-7500/2006 du 19 décembre 2007 consid. 7.2 Diva Cravatte/DD Divo Diva), ceci n'étant au demeurant contesté ni par la recourante ni par l'intimée.</w:t>
      </w:r>
    </w:p>
    <w:p>
      <w:r>
        <w:rPr>
          <w:b/>
        </w:rPr>
        <w:t>E. 4.2</w:t>
      </w:r>
    </w:p>
    <w:p>
      <w:r>
        <w:t>Les produits revendiqués par les deux marques en présence sont destinés à un même cercle de consommateurs. Dès lors qu'il s'agit de biens de consommation courante destinés à un consommateur moyen, il y a lieu d'admettre que, lors de l'acquisition de tels produits, le degré d'attention de l'acheteur est peu élevé, ce qui tend à accroître le risque de confusion (arrêt du Tribunal administratif fédéral B-3512/2008 du 9 mars 2009 consid. 3.2 Z/Z-BRAND et l'arrêt cité).</w:t>
      </w:r>
    </w:p>
    <w:p>
      <w:r>
        <w:rPr>
          <w:b/>
        </w:rPr>
        <w:t>E. 5</w:t>
      </w:r>
    </w:p>
    <w:p>
      <w:r>
        <w:t>L'appréciation du risque de confusion se fait sur la base des marques telles qu'elles sont inscrites au registre (sic! 2004 927 consid. 6 Ecofin/Icofin). Pour apprécier l'existence d'un risque de confusion, il faut se fonder sur le souvenir laissé par la marque chez les ultimes acquéreurs des produits ou des services (Ivan Cherpillod, Le droit suisse des marques, Lausanne 2007, p. 110). Est déterminante l'impression d'ensemble laissée par les marques dans le souvenir du consommateur cible (ATF 127 III 160 consid. 2b/cc Securitas).</w:t>
      </w:r>
    </w:p>
    <w:p>
      <w:r>
        <w:rPr>
          <w:b/>
        </w:rPr>
        <w:t>E. 6</w:t>
      </w:r>
    </w:p>
    <w:p>
      <w:r>
        <w:t>Le champ de protection d'une marque est défini par la force distinctive de celle-ci. Il est plus restreint pour les marques faibles que pour les marques fortes. Des différences plus modestes suffiront donc à créer une distinction suffisante. Sont faibles les marques dont les éléments essentiels sont banals ou dérivent de notions descriptives utilisées dans le langage courant. Sont au contraire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(arrêt du Tribunal administratif fédéral B-1077/2008 du 3 mars 2009 consid. 6 Sky/SkySim et l'arrêt cité). Un signe est banal lorsqu'il est constitué par exemple de figures géométriques simples (carré, rectangle, triangle, cercle, point, cube, pyramide, sphère [David, op. cit., n° 45 ad art. 2 ; sic! 2007 736 consid. 4 Karomuster farbig/Karomuster et les réf. cit.]), de lettres de l'alphabet (voir cependant : sic! 2006 475 consid. 9-11 X/X-Pressure), de chiffres, de couleurs de base, de signes de ponctuation ou de signes mathématiques. La combinaison de tels éléments dans un signe peut toutefois conférer à ce dernier un caractère distinctif (sic! 2004 853 consid. 4 Formes répétitives [3D] ; Cherpillod, op. cit., p. 72). Demeure toutefois réservée l'hypothèse où cette combinaison aurait un caractère descriptif. Sont descriptifs les signes qui représentent d'une façon ou d'une autre la marchandise concernée. On peut distinguer entre les désignations génériques, à savoir les indications désignant le genre de produit ou de service, et les désignations descriptives, à savoir les indications sur les caractéristiques des produits ou des services. Les indications relatives aux caractéristiques du produit ou du service sont descriptives, qu'elles portent, par exemple, sur son aspect, sa matière, sa composition, sa destination, sa fonction ou ses effets, le cercle de ses destinataires, sa provenance géographique, son lieu de vente, son prix, sa quantité ou encore sa qualité. Sont en outre descriptifs les indications portant sur une composante particulière du produit, les indications de nature publicitaire ou les slogans qui décrivent directement la qualité d'une marchandise ou d'un service (arrêt du Tribunal administratif fédéral B-7485/2006 du 4 février 2008 consid. 7.1 Booster/Turbo Booster et les réf. cit.). Un élément de la marque n'exerce toutefois un effet descriptif que si cette acception se comprend facilement pour le consommateur moyen sans effort d'imagination (ATF 114 II 371 consid. 2 Alta tensione, ATF 108 II 216 consid. 2 Less). Des associations d'idées ou des allusions qui n'ont qu'un rapport éloigné avec le produit ou le service concerné ne sont donc pas suffisantes pour admettre qu'une désignation est descriptive. Pour juger si une combinaison de mots est descriptive, il convient de déterminer le sens de chaque élément et d'examiner ensuite si la combinaison de ces significations donne un sens logique pouvant être compris par les milieux intéressés comme une dénomination générique sans effort intellectuel ou imaginatif particulier (arrêt du Tribunal administratif fédéral B-1171/2008 du 3 juin 2008 consid. 8.1.3 Orthofix/Orthofit ; voir également en ce sens : arrêt B-6770/2007 du 9 juin 2008 consid. 8.1 et 8.2 Nasacort/Vasocor).</w:t>
      </w:r>
    </w:p>
    <w:p>
      <w:r>
        <w:rPr>
          <w:b/>
        </w:rPr>
        <w:t>E. 6.1</w:t>
      </w:r>
    </w:p>
    <w:p>
      <w:r>
        <w:t>La recourante relève que le terme «JUMP» appartient certes au langage courant, mais ajoute que cela n'en fait pas nécessairement une marque faible ou descriptive du seul fait que son contenu est aisément identifiable. Elle soutient que l'on ne se procure pas des chaussures pour sauter, mais pour courir, marcher et plus généralement se déplacer. Selon elle, ce terme peut tout au plus être qualifié d'allusif et jouit, en rapport avec les produits considérés, d'un champ de protection normal. De l'avis de l'Institut fédéral, «JUMP» pourrait être une désignation descriptive de la qualité ou de la destination des chaussures ; il cite par exemple des chaussures spéciales pour le saut ou des chaussures de sport. Les marques ne concorderaient ainsi que sur un élément faible. Quant à l'intimée, elle estime que la signification du mot «JUMP» en relation avec des chaussures suscite indéniablement une association d'idées. Selon elle, il est vraisemblable que la marque opposante n'aurait pas été enregistrée sans la présence de son élément figuratif.</w:t>
      </w:r>
    </w:p>
    <w:p>
      <w:r>
        <w:rPr>
          <w:b/>
        </w:rPr>
        <w:t>E. 6.2</w:t>
      </w:r>
    </w:p>
    <w:p>
      <w:r>
        <w:t>En l'espèce, la marque opposante est une marque combinée, composée d'un élément verbal (JUMP) et d'un élément figuratif. Le terme anglais «JUMP» signifie «sauter» ou «le saut/le bond» en français. Le fait qu'un signe soit composé d'un élément tiré d'une langue ne comptant pas au nombre des langues officielles ou nationales suisses n'exclut pas qu'il soit considéré comme ressortant du domaine public (ATF 120 II 144 consid. 3b/aa Yeni Raki). Dans la mesure où les consommateurs suisses possèdent au moins le vocabulaire de base anglais (arrêt du Tribunal administratif fédéral B-7468/2006 du 6 septembre 2007 consid. 5.1 Seven/Seven for all mankind), l'on doit admettre que ces derniers comprendront aisément ce terme. Ainsi, le terme «JUMP» évoque, sans effort intellectuel ou imaginatif particulier, le sport et, plus généralement, l'idée de mouvement. En relation avec les produits «chaussures, chaussons», force est en conséquence d'admettre que l'élément verbal de la marque opposante ne revêt qu'une force distinctive faible, dès lors que, comme l'a à juste titre relevé l'autorité inférieure, il décrit, au moins indirectement, la qualité ou la destination des produits, en particulier pour des chaussures de sport. Quant à l'élément figuratif de la marque opposante, il est situé devant l'élément verbal et il représente un point noir et trois traits obliques épais. Il sied de constater que, pris isolément, cet élément figuratif est banal et qu'il ne permet pas de conférer au signe pris dans son ensemble un caractère distinctif. Sur le vu de ce qui précède, il appert que la marque opposante revêt une force distinctive faible et bénéficie dès lors d'un champ de protection restreint. Partant (cf. consid. 6 ci-dessus), des différences plus modestes suffiront à créer une distinction suffisante entre les marques en présence.</w:t>
      </w:r>
    </w:p>
    <w:p>
      <w:r>
        <w:rPr>
          <w:b/>
        </w:rPr>
        <w:t>E. 7</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122 III 382 Kamillosan). La plupart du temps, le public ne verra ni n'entendra les deux signes simultanément. En réalité, celui des deux que le public voit ou entend s'oppose dans la mémoire à l'image plus ou moins effacée de l'autre, qui avait été vu dans le temps. Lors de la comparaison des signes, il convient d'examiner les caractéristiques susceptibles de subsister dans une mémoire moyennement fidèle ou moyennement défaillante (ATF 121 III 377 consid. 2a Boss/Boks). Pour déterminer si deux marques se ressemblent au sens de l'art. 3 al. 1 let. c LPM, il y a lieu de prendre en compte leur effet auditif, leur représentation graphique ou encore leur contenu sémantique. La similitude des marques doit en principe déjà être admise lorsqu'un risque de confusion se manifeste sur la base de l'un de ces trois critères (David, op. cit., n°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122 III 382 Kamillosan).</w:t>
      </w:r>
    </w:p>
    <w:p>
      <w:r>
        <w:rPr>
          <w:b/>
        </w:rPr>
        <w:t>E. 7.1</w:t>
      </w:r>
    </w:p>
    <w:p>
      <w:r>
        <w:t>La marque attaquée est une pure marque verbale, tandis que la marque opposante est une marque combinée, composée d'un élément verbal et d'un élément figuratif. L'impression générale des marques verbales est donnée par la suite des syllabes, la longueur du mot, sa sonorité et sa typographie. Pour les marques combinées, l'impression d'ensemble est largement marquée par les éléments verbaux lorsque les éléments graphiques ne sont pas particulièrement originaux et que ceux-ci ne sont pas en mesure de conférer à la marque une image facile à retenir (arrêt du Tribunal administratif fédéral B-8011/2007 du 24 octobre 2008 consid. 6.3 EMOTION/e motion et la réf. cit.).</w:t>
      </w:r>
    </w:p>
    <w:p>
      <w:r>
        <w:rPr>
          <w:b/>
        </w:rPr>
        <w:t>E. 7.2</w:t>
      </w:r>
    </w:p>
    <w:p>
      <w:r>
        <w:t>S'agissant de l'impression visuelle, l'élément verbal de la marque opposante, composé de quatre lettres, est représenté en caractères d'imprimerie majuscules légèrement stylisés, en gras et épais. Il est précédé d'un élément figuratif représentant un point noir épais et trois traits obliques épais. Quant à la marque attaquée, elle est composée d'un mot de sept lettres écrit en lettres majuscules, lequel reprend le terme «JUMP» en y ajoutant le suffixe «MAN». Il ressort de ce qui précède que les éléments verbaux en présence diffèrent tant par leur longueur que par leur style d'écritures. A cela s'ajoute que l'élément figuratif de la marque opposante n'est ni repris ni imité par la marque attaquée. Il y a dès lors lieu d'admettre que l'aspect visuel des marques en présence prises dans leur ensemble est différent.</w:t>
      </w:r>
    </w:p>
    <w:p>
      <w:r>
        <w:rPr>
          <w:b/>
        </w:rPr>
        <w:t>E. 7.3</w:t>
      </w:r>
    </w:p>
    <w:p>
      <w:r>
        <w:t>Du point de vue phonétique, les marques litigieuses ont en commun l'élément verbal «JUMP». La marque attaquée se différencie en revanche de la marque opposante par l'adjonction du mot «MAN» à la fin du signe. Il apparaît ainsi que l'élément verbal de la marque opposante est composé d'une seule syllabe tandis que la marque attaquée en dénombre deux, ce qui entraîne une cadence, un rythme et une intonation différents entre les signes. Il s'ensuit dès lors que, nonobstant une syllabe d'attaque identique, les différences entre les marques en présence sont également suffisantes sous l'angle auditif, notamment au regard du champ de protection restreint dont bénéficie la marque opposante.</w:t>
      </w:r>
    </w:p>
    <w:p>
      <w:r>
        <w:rPr>
          <w:b/>
        </w:rPr>
        <w:t>E. 7.4</w:t>
      </w:r>
    </w:p>
    <w:p>
      <w:r>
        <w:t>Dès lors que le destinataire moyen d'une marque pense involontairement à ce qu'il entend et lit, le sens d'un signe emprunté au langage courant peut également être déterminant. Hormis la signification sémantique des mots, les associations d'idées qu'appelle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se laisse tromper par un son ou une image graphique analogue s'atténue (ATF 121 III 377 consid. 2b Boss/Boks). La compensation de la similarité visuelle et auditive par des sens différents n'est possible que si les marques se différencient par un sens qui est sans autre compréhensible et à ce point frappant qu'il s'impose dans l'inconscient des milieux concernés (arrêt du Tribunal administratif fédéral B-1171/2007 du 3 juin 2008 consid. 8.2.4 Orthofix/Orthofit).</w:t>
      </w:r>
    </w:p>
    <w:p>
      <w:r>
        <w:rPr>
          <w:b/>
        </w:rPr>
        <w:t>E. 7.4.1</w:t>
      </w:r>
    </w:p>
    <w:p>
      <w:r>
        <w:t>L'autorité inférieure considère que la marque attaquée comporte une différence essentielle par rapport à la marque opposante, dans le sens que le mot «JUMP» est combiné à un autre mot «MAN», ce qui forme une nouvelle unité. Pour sa part, la recourante estime que le rajout du suffixe «MAN» ne modifie nullement le sens de la marque. Elle est au contraire d'avis qu'il accentue la similitude en ce qu'il suggère un lien entre les deux marques. Quant à l'intimée, elle relève que sa marque attaquée «JUMPMAN» n'existe pas en tant que telle dans la langue anglaise et qu'elle sera probablement comprise par le consommateur comme signifiant «l'homme qui saute». Elle ajoute que cette construction particulière évoque une similitude avec certains héros bien connus du public suisse tels que Spiderman, Batman ou Superman.</w:t>
      </w:r>
    </w:p>
    <w:p>
      <w:r>
        <w:rPr>
          <w:b/>
        </w:rPr>
        <w:t>E. 7.4.2</w:t>
      </w:r>
    </w:p>
    <w:p>
      <w:r>
        <w:t>Comme relevé ci-dessus (voir consid. 6.2), le terme anglais «JUMP» signifie «sauter» ou «le saut/le bond» en français. Le public cible comprendra aisément ce terme qui s'imprégnera facilement dans sa mémoire. La marque attaquée reprend ce terme en y ajoutant le mot «MAN». Or, selon la doctrine et la jurisprudence, un risque de confusion ne peut être constaté si le seul élément commun entre les marques en présence présente un caractère descriptif ou non distinctif (David, op. cit., n° 29 ad art. 3 ; sic! 2001 320 consid. 5 Nutricia/Nutri, sic! 2004 684 consid. 7 Swatch/B Watch). Le terme anglais «MAN» signifie, dans son acception la plus répandue, «l'homme» en français. Il fait indéniablement partie du langage courant. Comme l'a souligné l'autorité inférieure, l'adjonction du mot «MAN» crée une nouvelle unité, à savoir «JUMPMAN». Celle-ci n'existe pas en tant que telle dans la langue anglaise. Il est ainsi probable que les consommateurs concernés comprennent la marque attaquée comme signifiant «l'homme qui saute». Comme l'a mentionné l'intimée, cette nouvelle construction évoque une similitude avec certains héros, tels que Batman, Superman, Iceman, Spider-man ou Iron Man. A cela s'ajoute que «JUMPMAN» était le premier nom du personnage de jeux vidéo de Nintendo qui deviendra par la suite Mario (voir fr.wikipedia.org). Il est dès lors possible que le terme «JUMPMAN» évoque l'idée d'un personnage fantastique dans l'esprit des consommateurs concernés. Quoi qu'il en soit, la marque attaquée crée une impression d'ensemble bien distincte de la marque opposante. Dans ces conditions, force est de constater que, sous l'angle sémantique également, tout risque de confusion entre les marques en présence peut être exclu.</w:t>
      </w:r>
    </w:p>
    <w:p>
      <w:r>
        <w:rPr>
          <w:b/>
        </w:rPr>
        <w:t>E. 7.5</w:t>
      </w:r>
    </w:p>
    <w:p>
      <w:r>
        <w:t>Selon la recourante, il existe un risque de confusion indirect entre les marques en présence dans la mesure où le consommateur pourrait être amené à croire que les deux produits émanent d'entreprises liées entre elles. Selon la pratique, un signe qui n'a qu'un faible caractère distinctif ne peut être l'élément déterminant d'une série de marques ; en effet, il ne peut y avoir de risque de confusion indirect aussi longtemps qu'un usage intensif de la marque n'a pas permis de renforcer son caractère distinctif (voir sic! 2006 759 consid. 9 Red Label, Red Code, Red Racing/Red M 150 ; voir également arrêt du Tribunal administratif fédéral B-7514/2006 du 31 juillet 2007 consid. 10 Quadrat/Quadrat et les réf. cit.). Ceci étant le cas en l'espèce, il n'y a donc pas non plus de risque de confusion indirect entre les marques en présence.</w:t>
      </w:r>
    </w:p>
    <w:p>
      <w:r>
        <w:rPr>
          <w:b/>
        </w:rPr>
        <w:t>E. 7.6</w:t>
      </w:r>
    </w:p>
    <w:p>
      <w:r>
        <w:t>Au regard de ce qui a été exposé ci-dessus, les marques en présence divergent quant à leur impression visuelle et sonore et se distinguent également clairement au plan sémantique, produisant ainsi une impression d'ensemble rigoureusement distincte. Partant, il y a lieu de conclure à l'absence d'un risque de confusion direct entre les signes. En outre, le consommateur ne présumera pas, en lisant la marque attaquée, qu'il est en présence d'une variante de la marque opposante ni ne pensera à des marques de série désignant diverses lignes de produits provenant de la même entreprise ou d'entreprises économiquement liées entre elles, ce qui fait également échec au risque de confusion indirect.</w:t>
      </w:r>
    </w:p>
    <w:p>
      <w:r>
        <w:rPr>
          <w:b/>
        </w:rPr>
        <w:t>E. 8</w:t>
      </w:r>
    </w:p>
    <w:p>
      <w:r>
        <w:t>Il résulte de ce qui précède que la décision attaquée ne viole pas le droit fédéral, qu'elle ne repose pas sur une constatation inexacte ou incomplète des faits et qu'elle n'est pas inopportune. Partant, le recours doit être rejeté.</w:t>
      </w:r>
    </w:p>
    <w:p>
      <w:r>
        <w:rPr>
          <w:b/>
        </w:rPr>
        <w:t>E. 9.1</w:t>
      </w:r>
    </w:p>
    <w:p>
      <w:r>
        <w:t>Vu l'issue de la procédure, les frais de la procédure de recours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4'000.- et mis à la charge de la recourante qui succombe. Ils sont imputés sur l'avance de frais de Fr. 4'500.- versée par la recourante le 9 septembre 2008. Le solde de Fr. 500.- lui est restitué.</w:t>
      </w:r>
    </w:p>
    <w:p>
      <w:r>
        <w:rPr>
          <w:b/>
        </w:rPr>
        <w:t>E. 9.2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parties qui ont droit aux dépens doivent faire parvenir au Tribunal, avant le prononcé de la décision, un décompte de leurs prestations (art. 14 al. 1 FITAF). Selon l'art. 14 al. 2 FITAF, le Tribunal fixe les dépens sur la base du décompte. A défaut du décompte, il fixe l'indemnité sur la base du dossier. L'intimée qui obtient gain de cause et qui est représentée par un mandataire a droit à des dépens (art. 64 al. 1 PA). Dans son mémoire de réponse du 7 octobre 2008 et dans son courrier du 9 février 2009, cette dernière a requis un montant de Fr. 1'500.- à titre de frais de représentation et de réponse. Le montant retenu par l'intimée paraît équitable. Partant, il se justifie d'allouer à l'intimée une indemnité de Fr. 1'500.- (TVA comprise) à titre de dépens pour la procédure de recours et mise à la charge de la recourante.</w:t>
      </w:r>
    </w:p>
    <w:p>
      <w:r>
        <w:rPr>
          <w:b/>
        </w:rPr>
        <w:t>E. 10</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