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B-5348/2012 vom 25. Juli 2013</w:t>
      </w:r>
    </w:p>
    <w:p>
      <w:r>
        <w:t>Bundesverwaltungsgericht, 2013-07-25, DE</w:t>
      </w:r>
    </w:p>
    <w:p>
      <w:r>
        <w:rPr>
          <w:b/>
        </w:rPr>
        <w:t xml:space="preserve">Quelle: </w:t>
      </w:r>
      <w:r>
        <w:t>https://mcp.opencaselaw.ch/entscheid/bvger_B-5348_2012</w:t>
      </w:r>
    </w:p>
    <w:p>
      <w:r>
        <w:t>FR: TAF B-5348/2012 du 25 juillet 2013</w:t>
      </w:r>
    </w:p>
    <w:p>
      <w:r>
        <w:t>IT: TAF B-5348/2012 del 25 luglio 2013</w:t>
      </w:r>
    </w:p>
    <w:p>
      <w:pPr>
        <w:pStyle w:val="Heading2"/>
      </w:pPr>
      <w:r>
        <w:t>Regeste</w:t>
      </w:r>
    </w:p>
    <w:p>
      <w:r>
        <w:t>Revisionsaufsicht</w:t>
      </w:r>
    </w:p>
    <w:p>
      <w:pPr>
        <w:pStyle w:val="Heading2"/>
      </w:pPr>
      <w:r>
        <w:t>Erwägungen</w:t>
      </w:r>
    </w:p>
    <w:p>
      <w:r>
        <w:rPr>
          <w:b/>
        </w:rPr>
        <w:t>E. 4</w:t>
      </w:r>
    </w:p>
    <w:p>
      <w:r>
        <w:t>Im Folgenden ist mit Blick auf die soeben dargestellten Leitsätze eine rechtliche Würdigung des relevierten Sachverhalts und insbesondere des Verhaltens des Beschwerdeführers vorzunehmen.</w:t>
      </w:r>
    </w:p>
    <w:p>
      <w:r>
        <w:rPr>
          <w:b/>
        </w:rPr>
        <w:t>E. 4.1</w:t>
      </w:r>
    </w:p>
    <w:p>
      <w:r>
        <w:t>Vorliegend verhält es sich so, dass E._______ unbestrittenermassen Gründer der H._______-Gruppe und bis zum 14. Dezember 2011 als Direktor bei der D._______ AG im Handelsregister eingetragen war. E._______ war sodann gemäss den Handelsregisterauszügen Mitglied des Verwaltungsrates von neun Gesellschaften, die von der C._______ AG in Liquidation revidiert wurden. Der Beschwerdeführer war bei diesen Revisionen in den Geschäftsjahren von 2006 bis 2010 als leitender Revisor oder "Co-Reviewer" tätig. Auch wenn die Vorinstanz nicht geltend macht E._______ selber habe jene Gesellschaften geprüft, in welchen er Verwaltungsrat war, sind bei dieser Konstellation, bei welcher Angestellte seiner Revisionsgesellschaften bzw. in enger Verbindung zu ihm stehende Personen seine Handelsgesellschaften prüften, Verhältnisse gegeben, die bei objektiver Betrachtungsweise nach aussen hin den Anschein fehlender Unabhängigkeit entstehen lassen. Dies gilt umso mehr, als sich diese enge Verbindung unzweideutig aus den Einträgen im Handelsregister ergibt. Fehl geht deshalb auch der Einwand des Beschwerdeführers, er habe gestützt auf die ihm insoweit bekannt gewordene Nachfolgeregelung annehmen dürfen, E._______ ziehe sich aus der Leitung der Gesellschaften der H.________-Gruppe zurück und er habe von den Geschäftsleitungsprotokollen nichts gewusst, wonach E._______ diese Absicht dann offenbar nicht konsequent verwirklicht habe. Damit ist die Unabhängigkeit, wie sie vom Gesetz in Art. 728 Abs. 1 und Abs. 2 Ziff. 3 sowie Art. 729 OR verlangt wird, zu verneinen.</w:t>
      </w:r>
    </w:p>
    <w:p>
      <w:r>
        <w:rPr>
          <w:b/>
        </w:rPr>
        <w:t>E. 4.2</w:t>
      </w:r>
    </w:p>
    <w:p>
      <w:r>
        <w:t>Ergänzend anzumerken bleibt jedoch, dass, soweit die Vorinstanz bei dieser Konstellation auch die Art. 728 Abs. 2 Ziff. 1 und Ziff. 2 OR als verletzt erachtet (vgl. Ziff. 4.11 der angefochtenen Verfügung), dies nicht nachvollziehbar ist. Der Beschwerdeführer war schliesslich weder Mitglied im Verwaltungsrat der geprüften Gesellschaften noch hatte er eine Darlehensbeziehung zu einer der geprüften Gesellschaften. Formell richtet sich das Unabhängigkeitserfordernis an die "Revisionsstelle". Da aber die objektive Beurteilung immer eine Tätigkeit von natürlichen Personen betrifft, bedarf es der Umsetzung auf die Personen, die für die "Revisionsstelle", d.h. meist eine juristische Person, handeln. Dies geschieht in Art. 728 Abs. 3 OR im Sinn eines Sowohl-als-auch, indem einerseits ein Kreis von natürlichen Personen als Anwendungsbereich bezeichnet, andererseits aber auch die Revisionsstelle selber einbezogen wird. Grundtatbestand ist die aktuelle Tätigkeit im Rahmen des Revisionsmandats (vgl. Jean Nicolas Druey, Die Unabhängigkeit des Revisors, SZW 2007, S. 445).</w:t>
      </w:r>
    </w:p>
    <w:p>
      <w:r>
        <w:rPr>
          <w:b/>
        </w:rPr>
        <w:t>E. 4.3</w:t>
      </w:r>
    </w:p>
    <w:p>
      <w:r>
        <w:t>Der Beschwerdeführer macht sinngemäss geltend, der vergleichsweise niedrige Strafrahmen von Art. 39 Abs. 1 Bst. a RAG für Verletzungen der Unabhängigkeitsbestimmungen müsse sich analog auch bei den verwaltungsrechtlichen Sanktionen nach Art. 17 ff. RAG auswirken, was vorliegend zu einer weniger einschneidenden verwaltungsrechtlichen Massnahme führen müsste. Dem ist entgegen zu halten, dass es sich bei der Verletzung von Unabhängigkeitsbestimmungen strafrechtlich gesehen zwar um eine Übertretung handelt, dass aber der Strafrahmen einer Busse bis zu Fr. 100'000.- entgegen der Ansicht des Beschwerdeführers nicht als geringfügig bezeichnet werden kann. Doch selbst wenn es sich anders verhielte, wäre dies für die Zumessung der Verwaltungsmassnahme irrelevant, welche sich auf eine eigenständige gesetzliche Grundlage abstützt. 5.Direkt der FINMA unterstellte Finanzintermediäre müssen sich periodisch der Prüfung durch eine zugelassene Prüfgesellschaft unterziehen (Art. 19a des Geldwäschereigesetzes vom 10. Oktober 1997 [GwG, SR 955.0]). Mit Freiheitsstrafe bis zu drei Jahren oder Geldstrafe wird bestraft, wer vorsätzlich ohne Bewilligung, Anerkennung, Zulassung oder Registrierung eine nach den Finanzmarktgesetzen bewilligungs-, anerkennungs-, zulassungs- oder registrierungspflichtige Tätigkeit ausübt. Wer fahrlässig handelt, wird mit Busse bis zu Fr. 250'000.- bestraft (Art. 44 Abs. 1 und 2 FINMAG). Für Widerhandlungen gegen die Strafbestimmungen des FINMAG oder der Finanzmarktgesetze ist das Bundesgesetz vom 22. März 1974 über das Verwaltungsstrafrecht (VStrR, SR 313.0) anwendbar, soweit das FINMAG oder die Finanzmarktgesetze nichts anderes bestimmen. Verfolgende und urteilende Behörde ist das Eidgenössische Finanzdepartement. Der Beschwerdeführer wurde mit Strafbescheid des EFD vom 4. Juni 2012 wegen Widerhandlung gegen Art. 44 Abs. 2 FINMAG zu einer Busse von Fr. 2'000.- rechtskräftig verurteilt. Soweit der Beschwerdeführer geltend macht, es habe sich bei seiner Widerhandlung um ein Versehen gehandelt, ist ihm entgegenzuhalten, dass ein Verstoss gegen Art. 44 FINMAG in Bezug auf die Leumundsbeurteilung offenkundig relevant ist, da die Voraussetzungen für eine einwandfreie Prüftätigkeit hinsichtlich der sich aus den einschlägigen Rechtsnormen ergebenden Pflichten nicht erfüllt sind. Auch insoweit vermag der Beschwerdeführer mit seinen Argumenten nicht durchzudringen.</w:t>
      </w:r>
    </w:p>
    <w:p>
      <w:r>
        <w:rPr>
          <w:b/>
        </w:rPr>
        <w:t>E. 6</w:t>
      </w:r>
    </w:p>
    <w:p>
      <w:r>
        <w:t>Schliesslich rügt der Beschwerdeführer, die Vorinstanz habe den Grundsatz der Verhältnismässigkeit verletzt. Als angemessene mildere Massnahme hätte ein Verweis (Eventualantrag) oder ein auf sechs Monate befristetes Berufsverbot (Subeventualantrag) genügt. Bei der Verhältnismässigkeitsprüfung ist insbesondere zu beachten, dass die Revisionspflicht den Schutz von Investoren, von Personen mit Minderheitsbeteiligungen sowie von Gläubigern bezweckt und der Unternehmensüberwachung dient, insbesondere zur Sicherung von Arbeitsplätzen und einer nachhaltigen wirtschaftlichen Entwicklung (vgl. Botschaft zum RAG, BBl 2004 3969 ff., 3989). Der Revisionsstelle kommt dabei eine zentrale Rolle zu. Sie soll die Zuverlässigkeit der Jahres- und Konzernrechnung sicherstellen und damit alle geschützten Personengruppen in die Lage versetzen, die wirtschaftliche Lage eines Unternehmens verlässlich zu beurteilen. Dieses Ziel der gesetzlichen Regelung von Revisionsdienstleistungen kann nur erreicht werden, wenn diese durch fachlich hinreichend qualifizierte Personen erbracht werden, deren Qualifikation im Rahmen der Zulassung anhand der strengen Zulassungsvoraussetzungen zu prüfen ist. Die Sicherung der Qualität der Revisionsdienstleistungen ist daher von erheblichem öffentlichen Interesse (vgl. Urteil des Bundesgerichts 2C_438/2008 vom 16. Oktober 2008 E. 3). Der Beschwerdeführer hat über einen längeren Zeitraum regelmässig und mehrfach gegen die für seine Tätigkeit zentralen Unabhängigkeitsvorschriften verstossen. Ferner hat er eine Prüfung nach GwG vorgenommen, ohne über die erforderliche Zulassung zu verfügen. Die Revisionstätigkeit setzt jedoch voraus, dass den einschlägigen Normen vollumfänglich Beachtung geschenkt wird. Der Umstand, dass dem Beschwerdeführer ansonsten beruflich nichts vorzuwerfen ist, ist insofern nicht ausschlaggebend. Aus dem verfassungsrechtlich verankerten Verhältnismässigkeitsprinzip (Art. 5 Abs. 2 BV) wird im Zusammenhang mit verwaltungsrechtlichen Sanktionsmitteln abgeleitet, dass in einer Rangordnung der möglichen und geeigneten Sanktionen zunächst die mildeste zu wählen und die einmal gewählte Sanktion in ihrer Intensität auf das sachlich Notwendige zu beschränken ist. Der Verweis stellt die mildeste Massnahme dar. Er ist auszusprechen, wenn es sich bei der in Frage stehenden Gesetzesverletzung der für ein staatlich beaufsichtigtes Revisionsunternehmen tätigen natürlichen Person um einen Einzelfall oder einen nicht gravierenden Vorfall (etwa weil der Verstoss [leicht] fahrlässig erfolgte) handelt. Liegen demgegenüber wiederholte oder grobe Verstösse vor, kann die Aufsichtsbehörde der fehlbaren Person die Ausübung ihrer Tätigkeit befristet oder unbefristet verbieten (Art. 18 Satz 2 RAG). Das Verbot betrifft grundsätzlich die von der fehlbaren Person ausgeübte Tätigkeit. So kann etwa die Aufsichtsbehörde einem fehlbaren VR-Mitglied eines staatlich beaufsichtigten Revisionsunternehmens untersagen, weiterhin bei Revisionsunternehmen eine Führungsposition zu bekleiden. Einem von einem staatlich beaufsichtigten Revisionsunternehmen beigezogenen Experten kann deshalb untersagt werden, weiterhin als Experte für staatlich beaufsichtigte Revisionsunternehmen tätig zu sein. Im Lichte des Verhältnismässigkeitsgebots ist grundsätzlich zunächst ein befristetes Tätigkeitsverbot zu prüfen. Unbefristete Tätigkeitsverbote dürfen nur bei schweren Verstössen ausgesprochen werden. Handelt es sich bei der für das staatlich beaufsichtigte Revisionsunternehmen tätigen Person um einen zugelassenen Revisor oder zugelassenen Revisionsexperten, kommt als Sanktion der befristete oder unbefristete Entzug der Zulassung in Frage, wenn diese Person wiederholte oder gravierende Rechtsverletzungen begangen hat. Nachdem es sich vorliegend bei der über mehrere Jahre andauernden, wiederholten Verletzung der Unabhängigkeitsvorschriften nicht um einen Einzelfall handelt, fällt ein blosser Verweis ausser Betracht. Wenn die Vorinstanz beim Beschwerdeführer, welcher zugelassener Revisionsexperte ist, einen befristeten Entzug der Zulassung verfügte, hat sie nach Auffassung des Bundesverwaltungsgerichts dennoch kein Bundesrecht verletzt, sondern innerhalb des Verwaltungsermessens gehandelt (vgl. Urteil des Bundesgerichts 2C_505/2010 vom 7. April 2011 E. 4.4; Urteile des Bundesverwaltungsgerichts B-5065/2011 vom 3. Mai 2012 E. 4.5 und B-4137/2010 vom 17. September 2010 E. 7; Pfiffner, in: Watter/Bertschinger [Hrsg.], a.a.O., Art. 18 N. 8 ff.). Demgegenüber erweist sich der Hinweis des Beschwerdeführers auf die Massnahmen des Strassenverkehrs- und Anwaltsrechts wegen der dortigen unterschiedlichen gesetzlichen Regelungen und Voraussetzungen als unbehelflich. Das öffentliche Interesse an qualitativ hochstehenden Revisionsdienstleistungen, auf welchen das Vertrauen der Allgemeinheit und der Schutz eines weiten Personenkreises - insbesondere bestehende sowie zukünftige Aktionäre und Gläubiger der zu prüfenden Gesellschaft - gründen, ist mithin vorliegend höher zu gewichten als das private Interesse des Beschwerdeführers an der uneingeschränkten Ausübung der Tätigkeit als Revisionsexperte. Der Zulassungsentzug ist zwangsläufig mit wirtschaftlichen Folgen für den Beschwerdeführer verbunden, welche von ihm zu tragen sind. Dass diese insgesamt sich als unzumutbar erweisen würden, geht aus seinen - insofern wenig substanziierten - Vorbringen nicht hervor. Der von der Vorinstanz gefällte Entscheid, mit welchem ein auf zwei Jahre befristeter Entzug ausgesprochen wurde, erweist sich somit als verhältnismässig, weshalb die Beschwerde als unbegründet abzuweisen ist. 7.Bei diesem Verfahrensausgang sind dem unterliegenden Beschwerdeführer die Verfahrenskosten aufzuerlegen (Art. 63 Abs. 1 VwVG sowie Art. 1 ff. des Reglements vom 21. Februar 2008 über die Kosten und Entschädigungen vor dem Bundesverwaltungsgericht [VGKE, SR 173.320.2]). Diese werden auf Fr. 2'000.- festgelegt und mit dem geleisteten Kostenvorschuss von Fr. 2'000.-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