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B-5337/2022 vom 12. April 2023</w:t>
      </w:r>
    </w:p>
    <w:p>
      <w:r>
        <w:t>Bundesverwaltungsgericht, 2023-04-12, DE</w:t>
      </w:r>
    </w:p>
    <w:p>
      <w:r>
        <w:rPr>
          <w:b/>
        </w:rPr>
        <w:t xml:space="preserve">Quelle: </w:t>
      </w:r>
      <w:r>
        <w:t>https://mcp.opencaselaw.ch/entscheid/bvger_B-5337_2022</w:t>
      </w:r>
    </w:p>
    <w:p>
      <w:r>
        <w:t>FR: TAF B-5337/2022 du 12 avril 2023</w:t>
      </w:r>
    </w:p>
    <w:p>
      <w:r>
        <w:t>IT: TAF B-5337/2022 del 12 aprile 2023</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 soweit in diesem Zusammenhang interessierend - nur hinsichtlich der vom ATSG abweichend geregelten Beschwerdeinstanz zutrifft (vgl. Art. 101 AVIG).</w:t>
      </w:r>
    </w:p>
    <w:p>
      <w:r>
        <w:rPr>
          <w:b/>
        </w:rPr>
        <w:t>E. 1.3</w:t>
      </w:r>
    </w:p>
    <w:p>
      <w:r>
        <w:t>Gemäss Art. 52 Abs. 1 VwVG hat die Beschwerdeschrift die Begehren, deren Begründung mit Angabe der Beweismittel und die Unterschrift des Beschwerdeführers oder Vertreters zu enthalten.</w:t>
      </w:r>
    </w:p>
    <w:p>
      <w:r>
        <w:rPr>
          <w:b/>
        </w:rPr>
        <w:t>E. 1.3.1</w:t>
      </w:r>
    </w:p>
    <w:p>
      <w:r>
        <w:t>Gemäss Praxis sind besonders bei Laienbeschwerden die Anforderungen an die Formulierung von Rechtsbegehren nicht allzu hoch anzusetzen. Es muss aber zumindest klar und deutlich hervorgehen, was der Beschwerdeführer verlangt und in welchen Punkten er die Verfügung beanstandet (vgl. Urteile des BVGer B-2477/2021 vom 12. Juli 2021 E. 1.3.2; B-671/2020 vom 6. Oktober 2020 E. 1.3; B-7115/2013 vom 9. März 2015 E. 3.6; Frank Seethaler/Fabia Portmann, in: Bernhard Waldmann/Philippe Weissenberger [Hrsg.], Praxiskommentar Verwaltungsverfahrensgesetz [VwVG], 2. Aufl., Zürich 2016, Art. 52 Rz. 45 ff.). Die Anforderungen an die Begründung sind ebenfalls nicht allzu hoch anzusetzen. Es muss aber aus der Beschwerdeschrift hervorgehen, in welchen Punkten und weshalb der angefochtene Entscheid beanstandet wird und welche tatsächlichen oder rechtlichen Erwägungen inwiefern unrichtig oder nicht stichhaltig sein sollen (vgl. BGE 131 II 470 E. 1.3; Urteile des BVGer A-691/2012 vom 6. Dezember 2012 E. 2.3; B-1050/2008 vom 1. Dezember 2008 E. 1.2). Die Begründung muss zumindest sachbezogen sein und sinngemäss auf einen zulässigen Beschwerdegrund schliessen lassen (vgl. BGE 140 V 22 E. 7.1). Ist die Vorinstanz auf das Begehren der beschwerdeführenden Partei nicht eingetreten, so muss sich die Begründung der Beschwerde an das Bundesverwaltungsgericht mit dieser Frage befassen. Eine Auseinandersetzung lediglich mit der materiellen Seite des Falles ist gemäss Rechtsprechung nicht sachbezogen, wenn die Vorinstanz aus formellen Gründen einen Nichteintretensentscheid gefällt hat (vgl. BGE 135 II 172 E. 2.2.2; 123 V 335 E. 1b; 118 Ib 134 E. 2; Urteil des BVGer A-1053/2014 vom 1. Dezember 2014 E. 1.4). Die Anforderungen an die Begründung sind bei Laienbeschwerden wiederum weniger streng (vgl. Urteil des BVGer A-1351/2017 vom 25. Juli 2017 E. 1.3.3).</w:t>
      </w:r>
    </w:p>
    <w:p>
      <w:r>
        <w:rPr>
          <w:b/>
        </w:rPr>
        <w:t>E. 1.3.2</w:t>
      </w:r>
    </w:p>
    <w:p>
      <w:r>
        <w:t>Aus Beschwerde und Replik geht hervor, dass die Beschwerdeführerin die Aufhebung des Nichteintretensentscheids der Vorinstanz sowie die Neufestsetzung des Rückerstattungsbetrages (Erlass oder Teilerlass) beantragt. Während sie in der Beschwerde darlegt, die Fehler nicht absichtlich begangen zu haben, führt sie in der Replik aus, dass sie die Revisionsverfügung vom 15. September 2022 zwar rechtzeitig erhalten, aber nicht gesehen habe. Die Verfügung habe sich in einem betrieblichen Ordner befunden, der ungeöffnet im Archiv verstaut worden sei. Sie habe die Revisionsverfügung erst nach Ablauf der Einsprachefrist und Erhalt der Aufforderung zur Rückerstattung durch die Arbeitslosenkasse des Kantons Thurgau entdeckt, woraufhin sie sofort Kontakt mit der Vorinstanz aufgenommen habe. Diese Begründung der Beschwerdeführerin genügt den Anforderungen an eine Laienbeschwerde.</w:t>
      </w:r>
    </w:p>
    <w:p>
      <w:r>
        <w:rPr>
          <w:b/>
        </w:rPr>
        <w:t>E. 1.4</w:t>
      </w:r>
    </w:p>
    <w:p>
      <w:r>
        <w:t>Die Beschwerdeführerin ist als Adressatin der angefochtenen Verfügung durch diese berührt und hat ein schutzwürdiges Interesse an deren Aufhebung oder Änderung (vgl. Art. 59 ATSG). Die Beschwerde wurde frist- und formgerecht eingereicht (Art. 60 Abs. 1 ATSG, Art. 52 Abs. 1 VwVG). Der Kostenvorschuss wurde fristgemäss bezahlt (Art. 63 Abs. 4 VwVG). Auf die Beschwerde ist daher grundsätzlich einzutreten (vgl. nachfolgend Einschränkung in E. 3).</w:t>
      </w:r>
    </w:p>
    <w:p>
      <w:r>
        <w:rPr>
          <w:b/>
        </w:rPr>
        <w:t>E. 2</w:t>
      </w:r>
    </w:p>
    <w:p>
      <w:r>
        <w:t>Im Folgenden ist zu prüfen, ob die Vorinstanz zu Recht nicht auf die Einsprache der Beschwerdeführerin eingetreten ist.</w:t>
      </w:r>
    </w:p>
    <w:p>
      <w:r>
        <w:rPr>
          <w:b/>
        </w:rPr>
        <w:t>E. 2.1</w:t>
      </w:r>
    </w:p>
    <w:p>
      <w:r>
        <w:t>Gemäss Art. 52 Abs. 1 ATSG kann gegen Verfügungen innerhalb von 30 Tagen bei der verfügenden Stelle Einsprache erhoben werden. Eine Frist beginnt an dem auf die Mitteilung folgenden Tag zu laufen (vgl. Art. 38 Abs. 1 ATSG; vgl. auch Art. 20 Abs. 1 VwVG). Die Auslösung einer Frist setzt demnach voraus, dass diese ordnungsgemäss mitgeteilt, die Verfügung mithin ordnungsgemäss zugestellt wurde (Urteil des BVGer C-6317/2013 vom 1. September 2014 E. 3.1). Eine Verfügung gilt als mitgeteilt und eröffnet, wenn sie in den Machtbereich der betreffenden Person gelangt, so dass sie diese zur Kenntnis nehmen kann. Die tatsächliche Empfangs- oder Kenntnisnahme ist hingegen nicht erforderlich (BGE 142 III 599 E. 2.4.1; 122 I 139 E. 1). Für die Frage der Tatsache sowie des Zeitpunktes der Zustellung einer Verfügung ist der Absender - somit die Behörde - in dem Sinn objektiv beweisbelastet, als dass diese mit überwiegender Wahrscheinlichkeit erfolgt sein müssen (BGE 136 V 295 E. 5.9 mit Hinweisen; Urteil des BVGer C-6317/2013 vom 1. September 2014 E. 3.1). Die Einsprachefrist gemäss Art. 52 Abs. 1 ATSG gilt als gewahrt, wenn die Einsprache spätestens am letzten Tag der Frist bei der urteilenden Behörde eingereicht oder zu deren Handen der Schweizerischen Post oder einer schweizerischen diplomatischen oder konsularischen Vertretung übergeben wird (Art. 39 Abs. 1 ATSG; vgl. auch Art. 21 Abs. 1 VwVG). Als gesetzliche Frist kann die Einsprachefrist nicht erstreckt werden (Ueli Kieser, Kommentar zum Bundesgesetz über den Allgemeinen Teil des Sozialversicherungsrechts, ATSG, 4. Aufl. 2020, Art. 52 N 34). Wird die Frist nicht eingehalten, wird auf das Rechtsmittel nicht eingetreten (vgl. André Moser/Michael Beusch/Lorenz Kneubühler/Martin Kayser, Prozessieren vor dem Bundesverwaltungsgericht, 3. Aufl. 2022, N 2.131).</w:t>
      </w:r>
    </w:p>
    <w:p>
      <w:r>
        <w:rPr>
          <w:b/>
        </w:rPr>
        <w:t>E. 2.2</w:t>
      </w:r>
    </w:p>
    <w:p>
      <w:r>
        <w:t>Vorliegend wurde die Revisionsverfügung vom 15. September 2022 der Beschwerdeführerin am 16. September 2022 zusammen mit anderen betrieblichen Unterlagen der Beschwerdeführerin mit eingeschriebener Post zugestellt. In ihrer Replik vom 13. Februar 2023 führt die Beschwerdeführerin selbst aus, dass sich die betreffende Revisionsverfügung in den ihr am 16. September 2022 zugestellten Unterlagen befunden habe, sie diese aber schlicht nicht wahrgenommen habe. Da es für die Eröffnung einer Verfügung nicht erforderlich ist, dass sie von der betroffenen Person tatsächlich empfangen oder zur Kenntnis genommen wird, wurde die Revisionsverfügung vom 15. September 2022 der Beschwerdeführerin am 16. September 2022 eröffnet. Die 30-tägige Einsprachefrist gemäss Art. 52 Abs. 1 ATSG hat damit am 17. September 2022 zu laufen begonnen und endete am 17. Oktober 2022. Mit Übergabe der Einsprache an die schweizerische Post am 18. Oktober 2022 hat die Beschwerdeführerin die Einsprachefrist versäumt. Damit ist die Vorinstanz zu Recht nicht auf die Einsprache der Beschwerdeführerin eingetreten.</w:t>
      </w:r>
    </w:p>
    <w:p>
      <w:r>
        <w:rPr>
          <w:b/>
        </w:rPr>
        <w:t>E. 3</w:t>
      </w:r>
    </w:p>
    <w:p>
      <w:r>
        <w:t>Ist ein Nichteintretensentscheid angefochten, hat das Bundesverwaltungsgericht nur zu prüfen, ob die Vorinstanz zu Recht auf die bei ihr erhobene Beschwerde bzw. Einsprache nicht eingetreten ist (vgl. BGE 132 V 74 E. 1.1; Urteile des BVGer A-2201/2021 vom 29. Juni 2022 E. 1.4; A-2231/2021 vom 26. Oktober 2022 E. 1.4.1; Moser/Beusch/Kneubühler/Kayser, a.a.O., Rz. 2.8, 2.164 und 2.213 f.). Auf die materiellen Vorbringen in der Beschwerde ist damit vorliegend nicht einzugehen. Soweit die Beschwerdeführerin in ihrer Replik um Erlass oder Teilerlass des geforderten Betrages ersucht, hat sie sich diesbezüglich an das hierfür zuständige AWA zu wenden (vgl. Art. 95 Abs. 3 AVIG und Art. 4 Abs. 4 der Verordnung über den Allgemeinen Teil des Sozialversicherungsrechts vom 11. September 2002 [ATSV, SR 830.11]; Urteil des BVGer B-741/2020 vom 28. Juni 2022 E. 1.5; vgl. auch Revisionsverfügung vom 15. September 2022 Rechtsmittelbelehrung). Nach dem Gesagten ist die Beschwerde abzuweisen, soweit darauf einzutreten ist.</w:t>
      </w:r>
    </w:p>
    <w:p>
      <w:r>
        <w:rPr>
          <w:b/>
        </w:rPr>
        <w:t>E. 4.1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E. 7; B-3364/2011 vom 14. Juni 2012 E. 7 m.H.). Vorliegend dringt die Beschwerdeführerin mit keinem ihrer Anträge durch und unterliegt daher. Entsprechend hat sie die Verfahrenskosten zu tragen (Art. 63 Abs. 1 VwVG sowie Art. 1 ff. des Reglements vom 21. Februar 2008 über die Kosten und Entschädigungen vor dem Bundesverwaltungsgericht [VGKE, SR 173.320.2]). Ausgehend vom Streitwert (Art. 63 Abs. 4bis Bst. b VwVG i.V.m. Art. 4 VGKE) und in Anwendung der gesetzlichen Bemessungsfaktoren (Art. 63 Abs. 4bis VwVG, Art. 2 Abs. 1 VGKE) sowie unter Berücksichtigung der gegebenen Umstände (Art. 6 Bst. b VGKE) sind die Verfahrenskosten auf Fr. 1'000.- festzusetzen.</w:t>
      </w:r>
    </w:p>
    <w:p>
      <w:r>
        <w:rPr>
          <w:b/>
        </w:rPr>
        <w:t>E. 4.2</w:t>
      </w:r>
    </w:p>
    <w:p>
      <w:r>
        <w:t>Als unterliegende Partei hat die Beschwerdeführerin keinen Anspruch auf Parteientschädigung (Art. 64 Abs. 1 VwVG, Art. 7 Abs. 1 VGKE e contrario). Abzuweisen ist der Antrag der Vorinstanz, die Beschwerde nicht nur unter Kosten-, sondern auch unter Entschädigungsfolgen abzuweisen. Die Vorinstanz ist eine Bundesbehörde (Art. 45a Abs. 1 i.V.m. Art. 2 Abs. 1 und 2 des Regierungs- und Verwaltungsorganisationsgesetzes vom 21. März 1997 [RVOG, SR 172.010]). Bundesbehörden haben keinen Anspruch auf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