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B-531/2013 vom 21. Oktober 2013</w:t>
      </w:r>
    </w:p>
    <w:p>
      <w:r>
        <w:t>Bundesverwaltungsgericht, 2013-10-21, DE</w:t>
      </w:r>
    </w:p>
    <w:p>
      <w:r>
        <w:rPr>
          <w:b/>
        </w:rPr>
        <w:t xml:space="preserve">Quelle: </w:t>
      </w:r>
      <w:r>
        <w:t>https://mcp.opencaselaw.ch/entscheid/bvger_B-531_2013</w:t>
      </w:r>
    </w:p>
    <w:p>
      <w:r>
        <w:t>FR: TAF B-531/2013 du 21 octobre 2013</w:t>
      </w:r>
    </w:p>
    <w:p>
      <w:r>
        <w:t>IT: TAF B-531/2013 del 21 ottobre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und der Kostenvorschuss wurde fristgemäss bezahlt (Art. 63 Abs. 4 VwVG). Auf die Beschwerde ist deshalb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beanspruchten Waren und Dienstleistungen sind umso höhere Anforderungen zu stellen, je ähnlicher sich die Zeichen sind und umgekehrt (BGE 128 III 445 E. 3.1 Appenzeller, BGE 128 III 99 E. 2c Orfina, BGE 126 III 320 E. 6b/bb Apiella; Lucas David, Kommentar zum schweizerischen Privatrecht, Markenschutzgesetz/Muster- und Modellgesetz, 2. Aufl., Basel 1999, Art. 3 Rz. 8). Dabei ist die Aufmerksamkeit der Verkehrskreise und die Kennzeichnungskraft der Zeichen zu berücksichtigen (BGE 121 III 378 E. 2a Boss/Boks; Urteile des Bundesverwaltungsgerichts B-1618/2011 vom25. September 2012 E. 5.2 Eiffel/Gustave Eiffel [fig.], B-6012/2008 vom 25. November 2009 E. 4.11 Stenflex/Starflex [fig.], B-7438/2006 vom10. Mai 2007 E. 5 Cellini [fig.]/Elini [fig.]; Gallus Joller, in: Noth/Büh­ler/Thou­ve­nin [Hrsg.], Markenschutzgesetz [MSchG], Bern 2009, Art. 3 Rz. 45; Christoph Willi, Markenschutzgesetz, Das schweizerische Markenrecht unter Berücksichtigung des europäischen und internationalen Markenrechts, Zürich 2002, Art. 3 Rz. 17 ff.).</w:t>
      </w:r>
    </w:p>
    <w:p>
      <w:r>
        <w:rPr>
          <w:b/>
        </w:rPr>
        <w:t>E. 2.2</w:t>
      </w:r>
    </w:p>
    <w:p>
      <w:r>
        <w:t>Die Gleichartigkeit der Waren und Dienstleistungen beurteilt sich aufgrund der Registereinträge (Urteile des Bundesverwaltungsgerichts B-137/2009 vom 30. September 2009 E. 5.1.1 Diapason Rogers Commodity Index, B-8105/2007 vom 17. November 2008 E. 4.2.2 Activia und B-7437/2006 vom 5. Oktober 2007 E. 6 Old Navy), soweit der Schutzumfang nicht aufgrund einer erfolgreich erhobenen Nichtgebrauchseinrede eingeschränkt wird (Joller, a.a.O., Art. 3 Rz. 235; Willi, a.a.O., Art. 3 Rz. 37).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[fig.], B-758/2007 vom 26. Juli 2007 E. 5.1 G-mode/Gmode; Joller, a.a.O., Art. 3 Rz. 300).</w:t>
      </w:r>
    </w:p>
    <w:p>
      <w:r>
        <w:rPr>
          <w:b/>
        </w:rPr>
        <w:t>E. 2.3</w:t>
      </w:r>
    </w:p>
    <w:p>
      <w:r>
        <w:t>Bei der Beurteilung der Ähnlichkeit verbaler Zeichen sind der Wortklang, das Schriftbild und gegebenenfalls der Sinngehalt massgebend (BGE 127 III 160 E. 2b/cc Securitas, BGE 121 III 377 E. 2b Boss/Boks; Urteil des Bundesverwaltungsgerichts B-5188/2010 vom 27 Mai 2011 E. 2.3 M&amp;G [fig.]/MG International; Eugen Marbach in: von Büren/David [Hrsg.], Schweizerisches Immaterialgüter- und Wettbewerbsrecht, Bd. III/1, Basel 2009 [hiernach: Markenrecht], Rz. 872 ff.; Willi, a.a.O., Art. 3 Rz. 69 ff.), wobei eine Ähnlichkeit im Wortklang oder Schriftbild allein genügt (Entscheid der Eidgenössischen Rekurskommission für geistiges Eigentum [RKGE] in: sic! 2006 S. 761 E. 4 McDonald's/McLake; Marbach, Markenrecht, a.a.O.,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a.a.O., Art. 3 Rz. 121; Marbach, Markenrecht, a.a.O., Rz. 864). Weil zwei Zeichen meist nicht gleichzeitig wahrgenommen werden, ist das für das Erinnerungsbild des Abnehmers massgebend (BGE 121 III 378 E. 2a Boss/Boks, BGE 119 II 476 E. 2d Radion/Radiomat; Marbach, Markenrecht, a.a.O., Rz. 867; David, a.a.O., Rz. 15). Dabei kommt dem Wortanfang in der Regel eine erhöhte Bedeutung zu, weil er besser im Gedächtnis haften bleibt (Urteile des Bundesverwaltungsgerichts B-3325/2010 vom 15. Dezember 2010 E. 4.5 Bally/Tally, B-6012/2008 vom 25. November 2009 E. 4.9 Stenflex/Star Flex [fig.], B-7934/2007 vom 26. August 2009 E. 6.3 Fructa/Fructaid).</w:t>
      </w:r>
    </w:p>
    <w:p>
      <w:r>
        <w:rPr>
          <w:b/>
        </w:rPr>
        <w:t>E. 2.4</w:t>
      </w:r>
    </w:p>
    <w:p>
      <w:r>
        <w:t>Für die Beurteilung der Zeichenähnlichkeit wird auf den Gesamteindruck, den die Marken in der Erinnerung der angesprochenen Verkehrskreise hinterlassen, abgestellt (BGE 121 III 378 E. 2a Boss/Books, BGE 119 II 473 E. 2d Radion) und nach dem Mass an Gleichartigkeit zwischen den geschützten Waren und Dienstleistungen. Zwischen diesen beiden Elementen besteht eine Wechselwirkung. An die Verschiedenheit der Zeichen sind umso höhere Anforderungen zu stellen, je ähnlicher die Produkte sind, und umgekehrt (David, a.a.O., Art. 3 Rz. 8; Urteil des Bundesverwaltungsgerichts B-3757/2011 vom 12. April 2013 E. 2.2 WeightWatchers [fig.]/WatchWT [fig.]). Für die Beurteilung relevant ist die Eintragung, wie sie dem Register entnommen werden kann (Urteile des Bundesverwaltungsgerichts B 5325/2007 vom 12. November 2007 E. 3 Adwista/ad-vista mit Hinweisen, B-7475/2006 vom 20. Juni 2007 E. 5 Converse All Stars [fig.]/Army tex [fig.]). Reine Wortmarken sind unabhängig von ihrer konkreten grafischen Gestaltung geschützt. Unterschiede bei der jüngeren Marke wie Gross-/Kleinbuchstaben, Schrifttypen oder Schriftgrösse bewirken kein rechtlich relevantes abweichendes Schriftbild (Joller, a.a.O., Art. 3 Rz. 132).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Bundesverwaltungsgerichts B-4772/2012 vom 12. August 2013 E. 2.2 Mc [fig.]/MC2 [fig.], B-4159/2009 vom 25. November 2009 E. 2.4 Efe [fig.]/Eve und B-7500/2006 vom 19. Dezember 2007 E. 6.4 Diva Cravatte [fig.]/ DD Divo Diva [fig.], je mit Hinweisen).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Unter Umständen kann eine Verwechslungsgefahr trotz Zeichenähnlichkeit entfallen, wenn es sich beim übernommenen Element um einen schwachen Bestandteil handelt, der mit einem kennzeichnungskräftigen Bestandteil verbunden wurde (Urteile des Bundesverwaltungsgerichts B-502/2009 vom 3. November 2009 E. 5.2.1, E. 6 Premium ingredients, s.l. [fig.]/Premium Ingredients International [fig.], B-1656/2008 vom 31. März 2009 E. 10 F1/F1H2O, B-386/2007 vom 4. Dezember 2009 E. 7 Sky/Sky­pe in und Skype out).</w:t>
      </w:r>
    </w:p>
    <w:p>
      <w:r>
        <w:rPr>
          <w:b/>
        </w:rPr>
        <w:t>E. 2.6</w:t>
      </w:r>
    </w:p>
    <w:p>
      <w:r>
        <w:t>Die starke Kennzeichnungskraft einer Marke erhöht deren Schutzumfang (BGE 128 III 445 E. 3.1 Appenzeller).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Markenrecht, a.a.O., Rz. 979 m.w.H.). Als schwach gelten insbesondere Marken, deren wesentliche Bestandteile sich eng an Gemeingut anlehnen (Urteile des Bundesverwaltungsgerichts B-5440/2008 vom 24. Juli 2009 E. 6.2 Jump [fig.]/Jumpman, B-5477/2007 vom 28. Februar 2008 E. 6 Regulat/H2O3 pH/ Regulat [fig.], B-7492/2006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diese Hinweise von den Verkehrskreisen ohne besondere Denkarbeit oder Fantasieaufwand verstanden werden und sich nicht in blossen Anspielungen erschöpfen (BGE 135 II 359 E. 2.5.5 akustische Marke; Urteile des Bundesverwaltungsgerichts B-283/ 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Schwach sind auch Zeichen, die direkte oder indirekte Hinweise auf die geografische Herkunft von Waren und Dienstleistungen enthalten (Urteile des Bundesverwaltungsgerichts B-8026/2010 vom 2. Mai 2012 E. 7.1.3 Swissview [fig.]/View, B-1427/2007 vom 28. Februar 2008 E. 6.2 Kremlyov­skaya/Kremlevka [fig.]; Marbach, Markenrecht, a.a.O., Rz. 378). Der Gemeingutcharakter gilt für den ganzen registrierten Oberbegriff, auch wenn er nur für einen Teil der darunter fallenden Waren zutrifft (Urteile des Bundesverwaltungsgerichts B-283/2012 vom 13. Dezember 2012 E. 7.1.2 Noblewood, B-7272/2008 vom 11. Dezember 2009 E. 5.3.5 Snowsport [fig.], B-7204/2007 vom 1. Dezember 2008 E. 6 Stencilmas­ter).</w:t>
      </w:r>
    </w:p>
    <w:p>
      <w:r>
        <w:rPr>
          <w:b/>
        </w:rPr>
        <w:t>E. 3.1</w:t>
      </w:r>
    </w:p>
    <w:p>
      <w:r>
        <w:t>Aufgrund der für die Beurteilung relevanten Waren und Dienstleistungen sind vorfrageweise die massgeblichen Verkehrskreise zu bestimmen (Marbach, Markenrecht, a.a.O., Rz. 180; derselbe, Die Verkehrskreise im Markenrecht, sic! 2007 S. 7). Eine erhöhte Aufmerksamkeit und eine reduzierte Verwechslungsgefahr werden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(B-38/2011 vom 29. April 2011 E. 7 ff. IKB/ICB, ICB [fig.]), während bei Massenartikeln des täglichen Bedarfs mit einer geringeren Aufmerksamkeit der Verkehrskreise zu rechnen ist (BGE 133 III 347 E. 4.1 Trapezförmiger Verpackungsbehälter [3D]; Joller, a.a.O., Art. 3 Rz. 52). Die Bestimmung der Verkehrskreise ist eine Rechtsfrage (BGE 133 III 347 E. 4 Trapezförmiger Verpackungsbehälter [3D], BGE 126 III 317 E. 4b Apiella; Marbach, Markenrecht, a.a.O., Rz. 183).</w:t>
      </w:r>
    </w:p>
    <w:p>
      <w:r>
        <w:rPr>
          <w:b/>
        </w:rPr>
        <w:t>E. 3.2</w:t>
      </w:r>
    </w:p>
    <w:p>
      <w:r>
        <w:t>Fermentierte Alkoholgetränke wie Wein und Bier dürfen nicht an Kinder und Jugendliche unter 16 Jahren abgegeben werden (Art. 11 Abs. 1 der Lebensmittel- und Gebrauchsgegenständeverordnung [LGV, SR 817.02]). Die Verkehrskreise bestehen demzufolge aus Weinkonsumenten über 16 Jahren sowie anderen Personen, die Wein aus beruflichen oder privaten Gründen für Dritte einkaufen.</w:t>
      </w:r>
    </w:p>
    <w:p>
      <w:r>
        <w:rPr>
          <w:b/>
        </w:rPr>
        <w:t>E. 3.3</w:t>
      </w:r>
    </w:p>
    <w:p>
      <w:r>
        <w:t>Obwohl alkoholische Getränke von einer kleinen Anzahl Kennern auch mit erhöhter Aufmerksamkeit gekauft werden, ist für diese allgemeinen Waren des täglichen Bedarfs auf breite Verkehrskreise mit normaler Aufmerksamkeit abzustellen (Urteile des Bundesverwaltungsgerichts B-5120/2011 vom 17.08.12 E. 5.2 Bec de fin bec [fig.]/Fin Bec [fig.], B-7352/ 2008 vom 17.06.09 E. 6.2 Torres/Torres Saracena). Angesichts der in E. 3.2 festgelegten Verkehrskreise gilt dies auch im vorliegenden Fall.</w:t>
      </w:r>
    </w:p>
    <w:p>
      <w:r>
        <w:rPr>
          <w:b/>
        </w:rPr>
        <w:t>E. 4.1</w:t>
      </w:r>
    </w:p>
    <w:p>
      <w:r>
        <w:t>Im vorliegenden Fall stehen die für die Widerspruchsmarke beanspruchten "Weine, Spirituosen und andere alkoholische Getränke (ausgenommen Biere)" in Klasse 33 den für die angefochtene Marke beanspruchten "Alkoholischen Getränken (ausser Bier)" in Klasse 33 sowie "Bieren; Mineralwässern und kohlensäurehaltigen Wässern und anderen alkoholfreien Getränken; Fruchtgetränken und Fruchtsäften; Sirupen und anderen Präparaten für die Zubereitung von Getränken" in Klasse 32 gegenüber.</w:t>
      </w:r>
    </w:p>
    <w:p>
      <w:r>
        <w:rPr>
          <w:b/>
        </w:rPr>
        <w:t>E. 4.2</w:t>
      </w:r>
    </w:p>
    <w:p>
      <w:r>
        <w:t>Die Rechtsprechung hat Wein und Bier regelmässig als gleichartig bezeichnet (Urteile des Bundesverwaltungsgerichts B-4159/2009 vom25. November 2009 E. 3.2 Efe/Eve; B-1085/2008 vom 13. November 2008 E. 5.2 Red Bull/Stierbräu; RKGE in sic! 2005 S. 129 E.7 Vismara/Vismara). Umso mehr sind vorliegend, wie die Vorinstanz bereits zutreffend festgestellt hat, der von angefochtenen Marke beanspruchte Oberbegriff der Klasse 33 mit den von der Widerspruchsmarke beanspruchten Waren identisch, während zwischen den Waren der Klassen 32 und 33 Gleichartigkeit besteht.</w:t>
      </w:r>
    </w:p>
    <w:p>
      <w:r>
        <w:rPr>
          <w:b/>
        </w:rPr>
        <w:t>E. 5.1</w:t>
      </w:r>
    </w:p>
    <w:p>
      <w:r>
        <w:t>Die Widerspruchsmarke umfasst fünf; die angefochtene Marke sechs Buchstaben. Die ersten vier Buchstaben "Gall" haben die beiden Marken gemeinsam. Wird die Gestaltung der angefochtenen Marke ausgeblendet, bestehen trotz der unterschiedlichen Wortlängen schriftbildliche Ähnlichkeiten. Der Widerspruchsmarke als reiner Wortmarke, die aus dem Wortelement "Gallo" besteht, steht die angefochtene Marke als Wort-/Bildmarke, welche das Wort "Gallay" grafisch so gestaltet, dass es wie ein Palindrom (Zeichenkette, die von vorn und von hinten gelesen gleich bleibt) wahrgenommen wird, gegenüber. Die grafische Abstrak­tion ist unge­wöhnlich - wie auch die Beschwerdeführerin selbst darlegt - und macht den Text der angefochtenen Marke schwer lesbar. Allerdings erlaubt der über dem abstrahierten Text stehende kleine Schriftzug "Gallay &amp; Gallay" auf den zweiten Blick zweifelsfrei, auch das verschnörkelte Wort "Gallay" richtig zu lesen. Die angefochtene Marke erscheint deshalb ungewöhnlich grafisch gestaltet, wird aber im Wesentlichen mit dem Begriff "Gallay" ausgesprochen und erinnert.</w:t>
      </w:r>
    </w:p>
    <w:p>
      <w:r>
        <w:rPr>
          <w:b/>
        </w:rPr>
        <w:t>E. 5.2</w:t>
      </w:r>
    </w:p>
    <w:p>
      <w:r>
        <w:t>Bezüglich des Wortklanges wird die Widerspruchsmarke auf Deutsch, Italienisch und Französisch so ausgesprochen, wie sie geschrieben wird. Die angefochtene Marke wirkt französisch und wird nach den französischen Aussprachregeln "Gallé" oder "Gallä" ausgesprochen (Josette Rey-Debove, Alain Rey [Hrsg.], Le Petit Robert, Paris 2012, Stichworte "gay"=[g ], "margay"=[marg ], "spray"=[spr ], [nachfolgend: Le Petit Robert]). Wie die Beschwerdegegnerin und die Vorinstanz bereits ausgeführt haben, bestehen damit vor allem bei den Wortenden Unterschiede in der Aussprache.</w:t>
      </w:r>
    </w:p>
    <w:p>
      <w:r>
        <w:rPr>
          <w:b/>
        </w:rPr>
        <w:t>E. 5.3</w:t>
      </w:r>
    </w:p>
    <w:p>
      <w:r>
        <w:t>Sowohl der Widerspruchsmarke wie auch der angefochtenen Marke drängt sich kein bestimmter Sinngehalt auf, der die Kennzeichnungskraft der Marke schwächen würde. Es bestehen lediglich entferntere Assoziationen. Die Widerspruchsmarke entspricht einem Familiennamen, der in den Schweizer Telefonbüchern 416 mal vorkommt (www.local.ch/de &gt; Namen oder Nummern finden &gt; Gallo, besucht am 27. September 2013) und damit nicht besonders weit verbreitet ist. In der deutschen Sprache existiert das Wort "Gallo" nicht. Im Französischen bezeichnet das Wort in Alleinstellung den gallo-romanischen Dialekt, der in der Bretagne gesprochen wird. In Verbindung mit einem weiteren Wort weist es auf Gallien hin (Le Petit Robert, a.a.O., Stichworte "gallo", "gallo-"). Im Italienischen bedeutet "Gallo" Huhn, gallisch oder Gallier und ist ein veralteter Ausdruck für Freude (lo Zingarelli, a.a.O., Stichwort "gallo"). Damit steht kein eindeutiger Sinngehalt im Vordergrund. Auch der Wortlaut "Gallay" der angefochtenen Marke, der in den Schweizer Telefonbüchern 196 mal vorkommt (www.local.ch/de &gt; Namen oder Nummern finden &gt; Gallay, besucht am 27. September 2013) entspricht einem nicht sehr häufigen Familiennamen, der von den altfranzösischen Wörtern gale=Freude; galer=sich freuen; galois=Lebemann (Latein: gaudium, gai) abstammt (http://www.genealogiesuisse.com/gallay.htm, besucht am 27. September 2013). Im Gegensatz zur Widerspruchsmarke kommen dem Zeichen keine weiteren Bedeutungen zu.</w:t>
      </w:r>
    </w:p>
    <w:p>
      <w:r>
        <w:rPr>
          <w:b/>
        </w:rPr>
        <w:t>E. 5.4</w:t>
      </w:r>
    </w:p>
    <w:p>
      <w:r>
        <w:t>Nachdem die Beschwerdeführerin nicht geltend gemacht hat, dass die Kennzeichnungskraft der Widerspruchsmarke durch ihre Bekanntheit erhöht sei, wofür im Übrigen auch keine Anhaltspunkte bestehen, ist festzuhalten, dass beide Marken mehrheitlich als Fantasiezeichen wahrgenommen werden und deren Kennzeichnungskraft weder aufgrund eines beschreibenden Sinngehalts eingeschränkt, noch aufgrund der Bekanntheit erhöht ist.</w:t>
      </w:r>
    </w:p>
    <w:p>
      <w:r>
        <w:rPr>
          <w:b/>
        </w:rPr>
        <w:t>E. 6.1</w:t>
      </w:r>
    </w:p>
    <w:p>
      <w:r>
        <w:t>Es ist nun in einem wertenden Gesamtblick zu entscheiden, ob eine Verwechslungsgefahr besteht (Art. 3 Abs. 1 Bst. c MSchG). Der Schutzumfang der Widerspruchsmarke als Wortmarke erstreckt sich grundsätzlich auf jede Schreibweise.</w:t>
      </w:r>
    </w:p>
    <w:p>
      <w:r>
        <w:rPr>
          <w:b/>
        </w:rPr>
        <w:t>E. 6.2</w:t>
      </w:r>
    </w:p>
    <w:p>
      <w:r>
        <w:t>Die Vorinstanz führt aus, dass es sich bei beiden Zeichen um Kurzzeichen handle, bei denen schon geringe Unterschiede einen ausreichenden Markenabstand schaffen würden. Die Beschwerdeführerin bestreitet dies. Strenge Regeln für die Annahme einer Verwechslungsgefahr verwendet die Rechtsprechung in der Tat vor allem (mehrheitlich) für einsilbige und bis vier Buchstaben lange Zeichen (BGE 121 III 377 E. 2b Boss/Boks; vgl. Urteile des Bundesverwaltungsgerichts B-38/2011 vom 29. April 2011 E. 8.2 IKB/ICB Banking Group, B-3126/2010 vom 16. März 2011 E. 7.4.3 CC (fig.)/Organic Glam OG (fig.), B-4159/2009 vom 25. November 2009 E. 5.2 Efe [fig.]/Eve, B-1656/2008 vom 31. März 2009 E. 9 F1/F1H2O; B-3268/2007 vom 25. Januar 2008 E. 5 MBR/MR). Nachdem die beiden Zeichen zweisilbig und weder leicht erfassbar noch einprägsam sind, kann eine Abweichung in einem (phonetisch wahrnehmbaren) Buchstaben nicht genügen.</w:t>
      </w:r>
    </w:p>
    <w:p>
      <w:r>
        <w:rPr>
          <w:b/>
        </w:rPr>
        <w:t>E. 6.3</w:t>
      </w:r>
    </w:p>
    <w:p>
      <w:r>
        <w:t>Beide Marken sind sowohl für identische als auch für gleichartige Waren eingetragen, weshalb bei der Prüfung der Verwechslungsgefahr ein besonders strenger Massstab anzuwenden ist.</w:t>
      </w:r>
    </w:p>
    <w:p>
      <w:r>
        <w:rPr>
          <w:b/>
        </w:rPr>
        <w:t>E. 6.4</w:t>
      </w:r>
    </w:p>
    <w:p>
      <w:r>
        <w:t>Die Ähnlichkeiten im Schriftbild werden weder durch einen abweichenden Sinngehalt, noch durch die Aussprache kompensiert. Dabei vermag auch die aussergewöhnliche Gestaltung des Schriftzuges die Ähnlichkeit im Gesamteindruck nicht aufzuheben, weil sich das Publikum im mündlichen Geschäftsverkehr vorwiegend an den Wortelementen der Marke orientiert (Urteil des Bundesverwaltungsgerichts B-3118/2007 vom 1. November 2007 E. 6.2 Swing/Swing &amp; Relaxx [fig.], Swing &amp; Relaxx) und somit die angefochtene Marke als "Gallay" verstanden wird.</w:t>
      </w:r>
    </w:p>
    <w:p>
      <w:r>
        <w:rPr>
          <w:b/>
        </w:rPr>
        <w:t>E. 6.5</w:t>
      </w:r>
    </w:p>
    <w:p>
      <w:r>
        <w:t>Im Erinnerungsbild der massgeblichen Verkehrskreise bleibt damit vor allem haften, dass die gegenüberstehenden Marken den gleichen Wortanfang haben, ähnlich klingen (E. 5.2) und keine Unterschiede im Sinngehalt aufweisen (E. 5.3). Auch wenn die Verkehrskreise die kleinen Unterschiede erkennen, werden sie aufgrund der Ähnlichkeit der beiden Marken zumindest vermuten, dass die damit gekennzeichneten Waren vom gleichen Unternehmen stammen. Damit liegt jedenfalls eine indirekte Verwechslungsgefahr vor. Die Beschwerde ist somit gutzuheissen und die Vorinstanz anzuweisen, die angefochtene Marke zu löschen.</w:t>
      </w:r>
    </w:p>
    <w:p>
      <w:r>
        <w:rPr>
          <w:b/>
        </w:rPr>
        <w:t>E. 7</w:t>
      </w:r>
    </w:p>
    <w:p>
      <w:r>
        <w:t>Aufgrund der Gutheissung der Beschwerde erübrigt sich die Prüfung einer allfälligen Verletzung des Gleichbehandlungsgebotes durch die Vorinstanz.</w:t>
      </w:r>
    </w:p>
    <w:p>
      <w:r>
        <w:rPr>
          <w:b/>
        </w:rPr>
        <w:t>E. 8.1</w:t>
      </w:r>
    </w:p>
    <w:p>
      <w:r>
        <w:t>Bei diesem Ausgang des Verfahrens wird der Beschwerdegegner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[3D] mit Hinweisen). Von diesem Erfahrungswert ist auch im vorliegenden Verfahren auszugehen. Nach dem Gesagten rechtfertigt es sich, die Verfahrenskosten insgesamt auf Fr. 4'000.- festzulegen und dem Beschwerdegegner aufzuerlegen.</w:t>
      </w:r>
    </w:p>
    <w:p>
      <w:r>
        <w:rPr>
          <w:b/>
        </w:rPr>
        <w:t>E. 8.3</w:t>
      </w:r>
    </w:p>
    <w:p>
      <w:r>
        <w:t>Da der vorinstanzliche Entscheid aufzuheben ist, sind die diesbezüglichen Kosten neu zu verteilen. Demzufolge hat der Beschwerdegegner der Beschwerdeführerin die Widerspruchsgebühr von Fr. 800.- zu ersetzen.</w:t>
      </w:r>
    </w:p>
    <w:p>
      <w:r>
        <w:rPr>
          <w:b/>
        </w:rPr>
        <w:t>E. 8.4</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Die Beschwerdegegnerin hat vorliegend keine Kostennote für das Beschwerdeverfahren eingereicht. In Anbetracht dessen erscheint vorliegend eine Parteientschädigung von Fr. 3'000. an die Beschwerdeführerin für das vorinstanzliche und das Beschwerdeverfahren als angemessen. In diesem Betrag ist keine Mehrwertsteuer enthalten.</w:t>
      </w:r>
    </w:p>
    <w:p>
      <w:r>
        <w:rPr>
          <w:b/>
        </w:rPr>
        <w:t>E. 8.5</w:t>
      </w:r>
    </w:p>
    <w:p>
      <w:r>
        <w:t>Die Mehrwertsteuer ist nur für Dienstleistungen geschuldet, die im Inland gegen Entgelt erbracht werden (vgl. Art. 18 Abs. 1 des Bundesgesetzes über die Mehrwertsteuer vom 12. Juni 2009 [Mehrwertsteuergesetz, MWSTG, SR 641.20]). Aufgrund des Sitzes der Beschwerdegegnerin im Ausland ist davon auszugehen, dass die massgebende Dienstleistung nicht im Inland erbracht wurde (vgl. Art. 8 Abs. 1 MWSTG; Urteile des Bundesverwaltungsgerichts B-1760/2012 vom 11. März 2013 E. 10.2 Zurcal/Zorcala).</w:t>
      </w:r>
    </w:p>
    <w:p>
      <w:r>
        <w:rPr>
          <w:b/>
        </w:rPr>
        <w:t>E. 8.6</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