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B-5317/2012 vom 3. September 2014</w:t>
      </w:r>
    </w:p>
    <w:p>
      <w:r>
        <w:t>Bundesverwaltungsgericht, 2014-09-03, DE</w:t>
      </w:r>
    </w:p>
    <w:p>
      <w:r>
        <w:rPr>
          <w:b/>
        </w:rPr>
        <w:t xml:space="preserve">Quelle: </w:t>
      </w:r>
      <w:r>
        <w:t>https://mcp.opencaselaw.ch/entscheid/bvger_B-5317_2012</w:t>
      </w:r>
    </w:p>
    <w:p>
      <w:r>
        <w:t>FR: TAF B-5317/2012 du 3 septembre 2014</w:t>
      </w:r>
    </w:p>
    <w:p>
      <w:r>
        <w:t>IT: TAF B-5317/2012 del 3 settembre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8. August 2012. Die Beschwerdeführerin hat frist- und formgerecht Beschwerde erhoben (Art. 60 ATSG). Als Adressatin der angefochtenen Verfügung ist sie besonders berührt und hat ein schutzwürdiges Interesse an deren Änderung oder Aufhebung (Art. 59 ATSG). Damit ist auf das ergriffene Rechtsmittel, nachdem auch der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Schweizer Staatsbürgerin und lebt in der Dominikanischen Republik. Mangels einschlägiger staatsvertraglicher Vereinbarungen mit der Dominikanischen Republik richtet sich der Anspruch der Beschwerdeführerin auf eine 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8. August 2012 in Kraft standen; weiter aber auch alle übrigen Vorschriften, die für die Beurteilung der streitigen Verfügung im vorliegend massgeblichen Zeitraum von Belang sind. Da sich vorliegend der zu beurteilende Sachverhalt im Zeitraum von Januar 2011 bis August 2012 zugetragen hat, sind bis zum 31. Dezember 2011 die auf den 1. Januar 2008 in Kraft getretenen Bestimmungen der 5. IV-Revision anwendbar (AS 2007 5129 bzw. AS 2007 5155), und ab dem 1. Januar 2012 die zu diesem Zeitpunkt in Kraft getretenen Bestimmungen des ersten Massnahmenpaket der 6. IV-Revision (AS 2011 5659 bzw. AS 2011 5679).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Im vorliegenden Verfahren ist in der Hauptsache streitig und vom Bundesverwaltungsgericht zu prüfen, ob die Vorinstanz zu Recht den Anspruch der Beschwerdeführerin auf eine schweizerische Invalidenrente verneint hat.</w:t>
      </w:r>
    </w:p>
    <w:p>
      <w:r>
        <w:rPr>
          <w:b/>
        </w:rPr>
        <w:t>E. 4.1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Die Beschwerdeführerin hat in der Schweiz während der Dauer von über 12 Jahren Beiträge an die Alters-, Hinterlassenen- und Invalidenversicherung geleistet, womit die beitragsmässigen Voraussetzungen für den Bezug einer ordentlichen Invalidenrente erfüllt sind (vgl. IV act. 36). Zu prüfen bleibt damit, ob und gegebenenfalls ab wann und in welchem Umfang sie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Der Zeitpunkt des Eintritts der Invalidität beurteilt sich nach Art. 28 Abs. 1 IVG. Der Rentenanspruch entsteht frühestens in dem Zeitpunkt, in dem Versicherte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verbleiben (Bst. c).</w:t>
      </w:r>
    </w:p>
    <w:p>
      <w:r>
        <w:rPr>
          <w:b/>
        </w:rPr>
        <w:t>E. 4.3.1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4.3.2</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die Person bei im Übrigen unveränderten Umständen täte, wenn keine gesundheitliche Beeinträchtigung bestünde. 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Bei Teilzeit-Erwerbstätigen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Eine zumutbare Arbeitsmöglichkeit hat sich der Versicherte anrechnen zu lassen (leidensangepasste Verweisungstätigkeit; ZAK 1986 S. 204 f.).</w:t>
      </w:r>
    </w:p>
    <w:p>
      <w:r>
        <w:rPr>
          <w:b/>
        </w:rPr>
        <w:t>E. 5.1</w:t>
      </w:r>
    </w:p>
    <w:p>
      <w:r>
        <w:t>Die angefochtene Verfügung vom 8. August 2012 sowie bereits der Vorbescheid vom 21. Mai 2012 basieren hauptsächlich auf dem undatierten medizinischen Bericht von Dr. B._______ und der diesbezüglich eingeholten Stellungnahme des RAD-Arztes Dr. med. A._______ vom 3. Februar 2012. Hiernach werden der Beschwerdeführerin im Wesentlichen eine Anpassungsstörung mit Angst und depressiver Reaktion gemischt (F43.22), eine rezidivierende depressive Störung, gegenwärtig remittiert (F33.4) sowie eine Funktionsstörung der Schilddrüse diagnostiziert, welche zu keinen Einschränkungen der Arbeits- bzw. Leistungsfähigkeit führen würden.</w:t>
      </w:r>
    </w:p>
    <w:p>
      <w:r>
        <w:rPr>
          <w:b/>
        </w:rPr>
        <w:t>E. 5.2</w:t>
      </w:r>
    </w:p>
    <w:p>
      <w:r>
        <w:t>Die Beschwerdeführerin bringt im Rahmen ihrer Replik vom 20. Mai 2013 vor, vom Wortlaut des Berichtes von Dr. B._______ keine Kenntnis zu haben. Nach entsprechender Aufforderung des Bundesverwaltungsgerichts teilte die Vorinstanz in ihrer Eingabe vom 23. Juni 2014 mit, dass der medizinische Bericht von Dr. B._______ und die RAD-Stellungnahme von Dr. med. A._______ vom 3. Februar 2012 der Beschwerdeführerin nicht zugestellt worden sind.</w:t>
      </w:r>
    </w:p>
    <w:p>
      <w:r>
        <w:rPr>
          <w:b/>
        </w:rPr>
        <w:t>E. 5.3</w:t>
      </w:r>
    </w:p>
    <w:p>
      <w:r>
        <w:t>Es stellt sich somit die Frage, ob der Anspruch der Beschwerdeführerin auf rechtliches Gehör verletzt worden ist, indem ihr die beiden medizinischen Berichte nicht zugestellt worden sind und sie keine Gelegenheit erhalten hat, sich zu diesen Berichten zu äussern, obwohl diese für den Entscheidfindungsprozess der Vorinstanz zentral gewesen sind.</w:t>
      </w:r>
    </w:p>
    <w:p>
      <w:r>
        <w:rPr>
          <w:b/>
        </w:rPr>
        <w:t>E. 6.1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Urteil des Bundesgerichts (BGer) 8C_102/2007 vom 25. Oktober 2007 E. 3.1).</w:t>
      </w:r>
    </w:p>
    <w:p>
      <w:r>
        <w:rPr>
          <w:b/>
        </w:rPr>
        <w:t>E. 6.2</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(BGE 132 V 387 E. 3; Urteil BGer 8C_102/2007 vom 25. Oktober 2007 E. 3.1.2; Thomas Locher, Grundriss des Sozialversicherungsrechts, 3. Auflage, Bern 2003, S. 448, § 68 N 27, mit Hinweis auf BGE 124 II 132 E. 2b).</w:t>
      </w:r>
    </w:p>
    <w:p>
      <w:r>
        <w:rPr>
          <w:b/>
        </w:rPr>
        <w:t>E. 6.3</w:t>
      </w:r>
    </w:p>
    <w:p>
      <w:r>
        <w:t>Diesem Gebot hat die Vorinstanz nicht nachgelebt. Sie hat den undatierten Bericht von Dr. B._______ und die RAD-Stellungnahme vom 3. Februar 2012, welche bereits vor Erlass des Vorbescheids am 21. Mai 2012 vorgelegen haben, der Beschwerdeführerin nicht zur Kenntnis gebracht. Im Vorbescheid wurde zur Begründung des in Aussicht gestellten Entscheides sodann lediglich ausgeführt, es gehe aus den Akten hervor, dass keine ausreichende durchschnittliche Arbeitsunfähigkeit während eines Jahres vorliege. Auf welche Akten sich die Vorinstanz bei dieser Feststellung genau stützte, geht aus dem Vorbescheid nicht hervor. Somit hatte die Beschwerdeführerin bereits bei der Erhebung der Einwände gegen den Vorbescheid vom 21. Mai 2012 weder Kenntnis der gesamten Vorakten noch von der eingeholten medizinischen Stellungnahme des RAD. Auch in der Verfügung vom 8. August 2012 wird nicht explizit erwähnt, dass sich die Feststellung der Vorinstanz, dass keine langfristige Arbeits- bzw. Leistungsunfähigkeit besteht, insbesondere auf den Bericht von Dr. B._______ und die RAD-Stellungnahme vom 3. Februar 2012 stützt. Die Beschwerdeführerin hatte somit nie Gelegenheit, sich zu den genannten, für die Entscheidfindung der Vorinstanz wesentlichen Unterlagen vernehmen zu lassen. Ohne Einsicht in diese Berichte konnte sie sich über die Würdigung der medizinischen Aktenstücke durch die Vorinstanz kein Bild machen. Damit wurde ihr Anspruch auf rechtliches Gehör verletzt (vgl. Urteil BGer 8C_147/2007 vom 27. Februar 2008 E. 4.2).</w:t>
      </w:r>
    </w:p>
    <w:p>
      <w:r>
        <w:rPr>
          <w:b/>
        </w:rPr>
        <w:t>E. 6.4</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127 V 431 E. 3d/aa; Urteil BGer 8C_102/2007 vom 25. Oktober 2007 E. 3.1.1).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Urteil BGer 8C_102/2007 vom 25. Oktober 2007 E. 3.1.1).</w:t>
      </w:r>
    </w:p>
    <w:p>
      <w:r>
        <w:rPr>
          <w:b/>
        </w:rPr>
        <w:t>E. 6.5</w:t>
      </w:r>
    </w:p>
    <w:p>
      <w:r>
        <w:t>Vorliegend wurde die Beschwerdeführerin, welche Wohnsitz in der Dominikanischen Republik hat, mit Verfügung des Bundesverwaltungsgerichts vom 4. Februar 2013 aufgefordert ein Zustelldomizil in der Schweiz anzugeben. Dieser Aufforderung kam die Beschwerdeführerin nicht nach, so dass Androhungen und Entscheide durch Publikation im Bundesblatt eröffnet werden müssen. Mangels Zustelldomizil in der Schweiz kann das Bundesverwaltungsgericht der Beschwerdeführerin im vorliegenden Beschwerdeverfahren den undatierten medizinischen Bericht von Dr. B._______ und die RAD-Stellungnahme vom 3. Februar 2012 nicht nachträglich zur allfälligen Stellungnahme zustellen. Im vorliegenden Beschwerdeverfahren scheidet somit eine Heilung der Verletzung des rechtlichen Gehörs aus. Die angefochtene Verfügung der Vorinstanz vom 8. August 2012 ist daher aufzuheben. Die Sache ist an die Vorinstanz zurückzuweisen, damit sie der Beschwerdeführerin das rechtliche Gehör gewähre und anschliessend, unter Berücksichtigung der durch sie vorgebrachten Argumente, neu über die Sache verfüge.</w:t>
      </w:r>
    </w:p>
    <w:p>
      <w:r>
        <w:rPr>
          <w:b/>
        </w:rPr>
        <w:t>E. 7</w:t>
      </w:r>
    </w:p>
    <w:p>
      <w:r>
        <w:t>Zu befinden bleibt noch über die Verfahrenskosten und eine allfällige Parteientschädigung.</w:t>
      </w:r>
    </w:p>
    <w:p>
      <w:r>
        <w:rPr>
          <w:b/>
        </w:rPr>
        <w:t>E. 7.1</w:t>
      </w:r>
    </w:p>
    <w:p>
      <w:r>
        <w:t>Gemäss Art. 63 Abs. 1 VwVG auferlegt das Bundesverwaltungsgericht die Verfahrenskosten in der Regel der unterliegenden Partei. Bei diesem Ausgang des Verfahrens sind der obsiegenden Beschwerdeführerin keine Kosten aufzuerlegen, so dass der geleistete Kostenvorschuss der Beschwerdeführerin auf ein von ihr anzugebendes Konto zurückzuerstatten ist. Der Vorinstanz werden keine Verfahrenskosten auferlegt (Art. 63 Abs. 2 VwVG).</w:t>
      </w:r>
    </w:p>
    <w:p>
      <w:r>
        <w:rPr>
          <w:b/>
        </w:rPr>
        <w:t>E. 7.2</w:t>
      </w:r>
    </w:p>
    <w:p>
      <w:r>
        <w:t>Da der obsiegenden Beschwerdeführerin, welche nicht anwaltlich vertreten war, keine verhältnismässig hohen Kosten entstanden sind, ist ihr keine Parteientschädigung zuzusprechen (vgl. Art. 64 Abs. 1 VwVG und Art. 7 ff. des Reglements vom 21. Februar 2008 über die Kosten und Entschädigungen vor dem Bundesverwaltungsgericht [VGKE, SR 173.320.2]). Als Bundesbehörde hat die Vorinstanz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