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B-5312/2015 vom 25. Oktober 2017</w:t>
      </w:r>
    </w:p>
    <w:p>
      <w:r>
        <w:t>Bundesverwaltungsgericht, 2017-10-25, IT</w:t>
      </w:r>
    </w:p>
    <w:p>
      <w:r>
        <w:rPr>
          <w:b/>
        </w:rPr>
        <w:t xml:space="preserve">Quelle: </w:t>
      </w:r>
      <w:r>
        <w:t>https://mcp.opencaselaw.ch/entscheid/bvger_B-5312_2015</w:t>
      </w:r>
    </w:p>
    <w:p>
      <w:r>
        <w:t>FR: TAF B-5312/2015 du 25 octobre 2017</w:t>
      </w:r>
    </w:p>
    <w:p>
      <w:r>
        <w:t>IT: TAF B-5312/2015 del 25 ottobre 2017</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hat den Kostenvorschuss fristgerecht bezahlt (Art. 63 Abs. 4 VwVG) und die Beschwerde frist- und formgerecht eingereicht (Art. 50 und 52 Abs. 1 VwVG). Auf die Beschwerde ist einzutreten.</w:t>
      </w:r>
    </w:p>
    <w:p>
      <w:r>
        <w:rPr>
          <w:b/>
        </w:rPr>
        <w:t>E. 2</w:t>
      </w:r>
    </w:p>
    <w:p>
      <w:r>
        <w:t>Die Beschwerdeführerin hat mit Eingabe vom 19. Januar 2017 einen Parteiwechsel vorgenommen. Der Parteiwechsel richtet sich nach Art. 4 VwVG in Verbindung mit Art. 17 des Bundesgesetzes vom 4. Dezember 1947 über den Bundeszivilprozess (BZP, SR 273). Nach dieser Bestimmung ist der Wechsel der Partei nur mit Zustimmung der Gegenpartei gestattet (Art. 17 Abs. 1 BZP); die Rechtsnachfolge auf Grund von Gesamtnachfolge sowie kraft besonderer gesetzlicher Bestimmungen gilt nicht als Parteiwechsel (Art. 17 Abs. 3 BZP). Ob hier gestützt auf deutsches Recht eine Einzelnachfolge stattgefunden hat, kann offen bleiben. Die Zustimmung zum Parteiwechsel kann auch stillschweigend erfolgen (Kamen Troller, Grundzüge des schweizerischen Immaterialgüterrechts, 2. Aufl. 2005, S. 212). Der Parteiwechsel wurde der Gegenpartei und der Vorinstanz mit Verfügung vom 26. Januar 2017 zur Kenntnis gebracht. Da beide den Wechsel nicht in Frage stellen, ist von einer stillschweigenden Zustimmung auszugehen.</w:t>
      </w:r>
    </w:p>
    <w:p>
      <w:r>
        <w:rPr>
          <w:b/>
        </w:rPr>
        <w:t>E. 3.1</w:t>
      </w:r>
    </w:p>
    <w:p>
      <w:r>
        <w:t>Gemäss Art. 3 Abs. 1 Bst. c des Markenschutzgesetzes vom 28. August 1992 (MSchG, SR 232.11)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(Gallus Joller, in: Noth/Bühler/ Thouvenin [Hrsg.], Markenschutzgesetz [MSchG],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3.2</w:t>
      </w:r>
    </w:p>
    <w:p>
      <w:r>
        <w:t>Ob die Zeichen ähnlich sind, beurteilt sich nach dem Gesamteindruck, den die Marken in der Erinnerung der angesprochenen Verkehrskreise hinterlassen (BGE 121 III 377 E. 2a "Boss/Books"; BGE 119 II 473 E. 2d "Radion"). Massgebend ist einzig die Eintragung, wie sie dem Register entnommen werden kann (Urteile des BVGer B-5325/2007 vom 12. November 2007 E. 3 "Adwista/ad-vista [fig.]" mit Hinweisen und B-7475/2006 vom 20. Juni 2007 E. 5 "Converse All Stars [fig.]/Army tex [fig.]"). 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als auch Bildelemente, können sie den massgeblichen Erinnerungseindruck gleichermassen prägen (Urteile des BVGer B-4159/2009 vom 25. November 2009 E. 2.4 "Efe [fig.]/Eve" und B-7500/2006 vom 19. Dezember 2007 E. 6.4 "Diva Cravatte [fig.]/ DD Divo Diva [fig.]", je mit Hinweisen).</w:t>
      </w:r>
    </w:p>
    <w:p>
      <w:r>
        <w:rPr>
          <w:b/>
        </w:rPr>
        <w:t>E. 3.3</w:t>
      </w:r>
    </w:p>
    <w:p>
      <w:r>
        <w:t>Ob eine Verwechslungsgefahr besteht, hängt unter anderem vom Schutzumfang der Widerspruchsmarke ab (Urteil des BVGer B-7017/2008 vom 11. Februar 2010 E. 2.4 "Plus/PlusPlus [fig.]" mit Hinweisen).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Stark sind hingegen jene Marken, welche das Ergebnis einer schöpferischen Leistung oder langer Aufbauarbeit sind (BGE 122 III 382 E. 2a "Kamillosan/Kamillon, Kamillan", mit Hinweisen; Urteil des BVGer B-7475/2006 vom 20. Juni 2007 E. 7 "Converse All Stars [fig.]/ Army tex [fig.]"; Eugen Marbach, in: Roland von Büren/Lucas David [Hrsg.], Schweizerisches Immaterialgüter- und Wettbewerbsrecht, Bd. III/1, Markenrecht, 2. Aufl. 2009, N. 979, mit Hinweisen). Die Verwechslungsgefahr beurteilt sich nach einem strengen Massstab, wenn die strittigen Marken für Massenartikel des täglichen Gebrauchs hinterlegt sind (BGE 117 II 321 E. 4 "Valser"), weil diese mit einem weniger hohen Aufmerksamkeitsgrad nachgefragt werden. Nebst der Häufigkeit des Konsums hängt der Aufmerksamkeitsgrad auch von den massgeblichen Verkehrskreisen im Einzelfall ab (BGE 126 III 315 E. 6 b bb "Rivella"). Die Verwechslungsgefahr kann zu zwei Fehlzurechnungen führen. Einmal kommt es zur Verwechslung, wenn eines der vergleichenden Zeichen für das andere gehalten wird ("unmittelbare Verwechslungsgefahr"). Eine Verwechslung liegt auch vor, wenn die massgeblichen Verkehrskreise die Zeichen zwar auseinanderhalten können, dahinter aber unrichtige wirtschaftliche Zusammenhänge vermuten und namentlich annehmen, dass beide gekennzeichneten Angebote aus demselben Unternehmen stammen ("mittelbare Verwechslungsgefahr"; vgl. BGE 127 III 160 E. 2a "Securitas"; BGE 128 III 96 E. 2a "Orfina/Orfina"; Entscheid des BGer 4C.171/2001 vom 5. Oktober 2001 E. 1b "Stoxx/StockX [fig.]").</w:t>
      </w:r>
    </w:p>
    <w:p>
      <w:r>
        <w:rPr>
          <w:b/>
        </w:rPr>
        <w:t>E. 4</w:t>
      </w:r>
    </w:p>
    <w:p>
      <w:r>
        <w:t>Die Verwechslungsgefahr im Sinne von Art. 3 Abs. 1 Bst. c MSchG setzt voraus, dass die Marken für gleiche oder gleichartige Waren oder Dienstleistungen bestimmt sind (1. Satz, 2. Teil).</w:t>
      </w:r>
    </w:p>
    <w:p>
      <w:r>
        <w:rPr>
          <w:b/>
        </w:rPr>
        <w:t>E. 4.1</w:t>
      </w:r>
    </w:p>
    <w:p>
      <w:r>
        <w:t>Die Vorinstanz stellt fest, dass die Gleichartigkeit beziehungsweise Gleichheit der Waren und Dienstleistungen mit Ausnahme von apparecchi e strumenti per la conduzione, distribuzione, trasformazione, accumulazione, regolazione o controllo dell'elettricità in Klasse 9 und carta, cartone in Klasse 16 zu bejahen sei. Die Beschwerdeführerin schliesst sich dieser Feststellung an. Der Beschwerdegegner bringt vor, Gleichartigkeit und Gleichheit bestehe zwischen den Waren und Dienstleistungen überhaupt nicht. Als Begründung führt er aus, das Zielpublikum der Waren und Dienstleistungen sei ein anderes. Bei "JOY (fig.)" seien es junge und junggebliebene Frauen und bei "ENJOY (fig.)" Frauen und Männer in jedem Alter und auch Familien mit Kindern.</w:t>
      </w:r>
    </w:p>
    <w:p>
      <w:r>
        <w:rPr>
          <w:b/>
        </w:rPr>
        <w:t>E. 4.2</w:t>
      </w:r>
    </w:p>
    <w:p>
      <w:r>
        <w:t>Für die Feststellung, ob die Waren und Dienstleistungen gleich oder gleichartig sind, ist das Zielpublikum der Marke und der Markeneinsatz unerheblich. Der Vergleich erfolgt aufgrund der eingetragenen Waren und Dienstleistungen nach der Nizza-Klassifizierung (Art. 40 Abs. 1 Bst. f der Markenschutzverordnung vom 23. Dezember 1992 [MSchV, SR 232.111]). Die eingetragenen Waren und Dienstleistungen sind hier zu einem grossen Teil deckungsgleich oder gleichartig. Diesbezüglich kann auf die zutreffenden Erwägungen in der angefochtenen Verfügung verwiesen werden. Der Beschwerdegegner kann aus den Vorbringen, seine Marke würde nur Waren und Dienstleistungen in der italienischen Schweiz kennzeichnen und die Beschwerdeführerin würde ihr Magazin nur auf Deutsch herausgeben, nichts ableiten. Die Feststellung der Gleichheit beziehungsweise Gleichartigkeit der Waren und Dienstleistungen legt in Bezug auf die Prüfung des Zeichenabstands einen besonders strengen Massstab nahe (BGE 122 III 382 E. 3a "Kamillosan/Kamillon, Kamillan").</w:t>
      </w:r>
    </w:p>
    <w:p>
      <w:r>
        <w:rPr>
          <w:b/>
        </w:rPr>
        <w:t>E. 4.3</w:t>
      </w:r>
    </w:p>
    <w:p>
      <w:r>
        <w:t>Für die im Widerspruch stehenden Waren sind die massgeblichen Verkehrskreise zu bestimmen (Eugen Marbach, Die Verkehrskreise im Markenrecht, in: sic! 1/2007, S. 1, 6 f. und 11). Ausgangspunkt für die Bestimmung der Verkehrskreise ist das Warenverzeichnis der älteren Marke (Gallus Joller, a.a.O., Art. 3 N. 51). Ein Teil der beanspruchten Waren (vorab der Klasse 9) ist an eine mediengewöhnte und -konsumierende Letztabnehmerschaft gerichtet, wird aber auch von Fach- und Berufskreisen zu geschäftlichen Zwecken erworben (vgl. Urteile des BVGer B-3663/2011 vom 17. April 2013 E. 4.1.1 "Intel Inside und Intel Inside [fig.]/Galdat Inside" und B-5692/2012 vom 17. März 2014 E. 4 "Yello/Yellow Lounge"). Hierzu zählen Geräte zur Aufzeichnung, Übertragung und Wiedergabe von Ton und Bild, Magnetaufzeichnungsträger und Software. Daneben werden die Dienstleistungen Erziehung und Ausbildung in Klasse 41 eher von Fachleuten erworben und deshalb mit erhöhten Marktkenntnissen und besonderer Aufmerksamkeit nachgefragt. Dienstleistungen im Bereich Unterhaltung und kulturelle/sportliche Aktivitäten werden von einem breiten Publikum mit einer gewissen Regelmässigkeit und daher mit einer gewöhnlichen Aufmerksamkeit in Anspruch genommen (vgl. Urteil des BVGer B-8028/2010 vom 2. Mai 2012 E. 4.2.3 "View/Swissview [fig.]"). Druckerzeugnisse aller Art (Klasse 16) richten sich neben Zwischenhändlern und Fachleuten aus der Medienbranche, welche über besondere Marktkenntnisse verfügen, an erwachsene und jugendliche Letztabnehmer. Sie werden von diesen als täglich konsumierte Medien mit einer gewöhnlichen bis flüchtigen Aufmerksamkeit nachgefragt (vgl. Urteile des BVGer B-3815/2014 vom 18. Februar 2016 E. 5 "Rapunzel"; B-4026/2015 vom 19. Juli 2016 E. 3 "Heimat Online/Die Heimat [fig.]").</w:t>
      </w:r>
    </w:p>
    <w:p>
      <w:r>
        <w:rPr>
          <w:b/>
        </w:rPr>
        <w:t>E. 5</w:t>
      </w:r>
    </w:p>
    <w:p>
      <w:r>
        <w:t>Die Verwechslungsgefahr im Sinne von Art. 3 Abs. 1 Bst. c MSchG setzt voraus, dass die Zeichen ähnlich sind (1. Satz, 1. Teil).</w:t>
      </w:r>
    </w:p>
    <w:p>
      <w:r>
        <w:rPr>
          <w:b/>
        </w:rPr>
        <w:t>E. 5.1</w:t>
      </w:r>
    </w:p>
    <w:p>
      <w:r>
        <w:t>Die Vorinstanz stellt in der angefochtenen Verfügung fest, die graphischen Elemente seien bei beiden Zeichen minim, doch dürften diese für die Beurteilung des Gesamteindrucks nicht ausser Acht gelassen werden. Die Zeichen seien schriftbildlich und phonetisch sehr ähnlich. Auch auf der Ebene des Sinngehaltes sei kein rechtsgenüglicher Unterschied ersichtlich, welcher eine markenrechtlich relevante Zeichenähnlichkeit zu kompensieren vermöge. Die Beschwerdeführerin schliesst sich der Beurteilung der Vorinstanz an. Der Beschwerdegegner bringt vor, im vorliegenden Fall sei die Wortlänge deutlich unterschiedlich und bereits, dass die eine Marke gross geschrieben sei und die andere klein, reiche für die Unterscheidung. Weiter sei das Schriftbild der Zeichen deutlich unterschiedlich, wie auch der Klang beider Wörter, da sie aus unterschiedlich vielen Silben bestehen würden. Auch sei der Sinngehalt ein anderer. "Enjoy" sei ein Verb und setze eine Handlung voraus, während "Joy" ein Substantiv sei und ein statisches Gefühl darstelle.</w:t>
      </w:r>
    </w:p>
    <w:p>
      <w:r>
        <w:rPr>
          <w:b/>
        </w:rPr>
        <w:t>E. 5.2</w:t>
      </w:r>
    </w:p>
    <w:p>
      <w:r>
        <w:t>Die Widerspruchsmarke besteht aus dem Wort "JOY" und ist in Grossbuchstaben in normaler Schrift geschrieben. Die Buchstaben verfügen über eine leichte Schattierung und das "O" ist ein wenig auseinander gezogen. Der Wortteil der angefochtenen Marke ist das kleingeschriebene Wort "enjoy". Die graphische Gestaltung wirkt dabei so, als wäre das Wort von Hand geschrieben. Die Vorinstanz stellt zutreffend fest, dass das Wortelement des angefochtenen Zeichens als selbständiger Markenbestandteil erkannt wird und ihm eine Orientierungsfunktion am Markt zukommt. Eine Zeichenähnlichkeit wird in der Regel angenommen, wenn die ältere Marke (oder ihr prägender Hauptbestandteil) von der jüngeren Marke übernommen wird, auch wenn dem übernommenen Element weitere Kennzeichen hinzugefügt werden (Urteile des BVGer B-433/2013 vom 18. Februar 2014 E. 5.1 "METRO/METROPOOL" und B-4772/2012 vom 12. August 2012 E. 5.2 "Mc [fig.]/MC2 [fig.]"; RKGE in sic! 2006 S. 269 E. 6 "Michel [fig.]/Michel Compte Waters"; sic! 2005 S. 757 E. 6 "Boss/Airboss"; sic! 2005 S. 571 E. 6 "CJ Cavalli Jeans [fig.]/Rocco Cavalli [fig.]"; sic! 2003 S. 907 E. 5 "Kiss/Soft-Kiss"; sic! 2003 S. 904 E. 7 "Seven [fig.]/Seven Pictures [fig.]"; sic! 2001 S. 813 E. 7 "VIVA/CoopVIVA [fig.]", mit Hinweisen; sic! 2000 S. 509 E. 5 "DK/dk Daniel Kramer Cosmetics [fig.]"). Das Wortelement "Joy" verwenden beiden Zeichen übereinstimmend. Der Wortteil der Widerspruchsmarke wurde vollständig in das angefochtene Zeichen übernommen, weshalb die Zeichenähnlichkeit zu bejahen ist. Trotz der zusätzlichen Silbe liegt auch bei "enjoy" die Betonung auf dem zweiten Bestandteil "-joy". Die Zeichen sind nach dem Wortlaut sehr ähnlich; allerdings heben sie sich in der Wortgestaltung ab. Der Sinngehalt der beiden Zeichen weicht leicht voneinander ab. Obwohl das angefochtene Zeichen die Widerspruchsmarke enthält, ergibt sie durch den Zusatz "en-" ein neues Wort. "To enjoy sth" bedeutet dabei so viel wie "etwas geniessen" (PONS Online Wörterbuch Englisch-Deutsch, http://de.pons.com, abgerufen am 11.10.2017). "Joy" wird mit "Freude" oder "Vergnügen" übersetzt (PONS Online Wörterbuch Englisch-Deutsch). Da es sich bei beiden Wortelementen um Ausdrücke aus dem englischen Grundwortschatz handelt, dürfen diese Wortbedeutungen bei den massgeblichen Verkehrskreisen ohne weiteres als bekannt vorausgesetzt werden. Der Sinngehalt der beiden Zeichen ist geringfügig anders, aber beide Wörter sind offensichtlich miteinander sinnverwandt. Die Zeichen sind nach den verwendeten Wortelemente, dem Wortklang und dem Sinngehalt sehr ähnlich. In der graphischen Gestaltung heben sie sich ab. Insgesamt ist von der Zeichenähnlichkeit auszugehen.</w:t>
      </w:r>
    </w:p>
    <w:p>
      <w:r>
        <w:rPr>
          <w:b/>
        </w:rPr>
        <w:t>E. 6</w:t>
      </w:r>
    </w:p>
    <w:p>
      <w:r>
        <w:t>Die Verwechslungsgefahr zwischen der Widerspruchsmarke und der angefochtenen Marke im Sinne von Art. 3 Abs. 1 Bst. c MSchG ist vor dem Hintergrund der gesamten Umstände zu beurteilen (2. Satz).</w:t>
      </w:r>
    </w:p>
    <w:p>
      <w:r>
        <w:rPr>
          <w:b/>
        </w:rPr>
        <w:t>E. 6.1</w:t>
      </w:r>
    </w:p>
    <w:p>
      <w:r>
        <w:t>Die Vorinstanz führt in der angefochtenen Verfügung aus, der Schutzumfang jeder Marke werde durch die Sphäre des Gemeinguts begrenzt. Beim Wort "enjoy" handle es sich um eine ausschliesslich werbemässige Anpreisung. Im Zusammenhang mit den beanspruchten Waren und Dienstleistungen verspreche der Begriff, dass diese Spass und Vergnügen bringen würden. Folglich sei das Wortelement "enjoy" für sich allein gemeinfrei und könne nicht monopolisiert werden. Das Zeichen könne in Kombination mit weiteren Bestandteilen zwar als Marke eingetragen werden, doch erstrecke sich der Schutzumfang nicht auf diese zum Gemeingut gehörenden Elemente. Die angefochtene Marke enthalte neben dem Wortteil eine spezielle Grafik, weshalb sie habe eingetragen werden können. Sie unterscheide sich in der Grafik stark von der Widerspruchsmarke. Die Beschwerdeführerin macht geltend, der Schutzumfang einer Marke könne trotz schwacher Bestandteile dadurch gestärkt werden, dass sie auf dem schweizerischen Markt eine hohe Bekanntheit erlangt habe. Sie habe zahlreiche Belege für den langjährigen, erfolgreichen und unangefochtenen Gebrauch der Marke "JOY (fig.)" und die getroffenen Werbemassnahmen eingereicht. Sie habe die Marke bereits in diversen Ländern erfolgreich monopolisieren können. Das Zeichen habe erhöhte Kennzeichnungskraft und damit zumindest einen normalen Schutzumfang, zumal die Marke als Teil einer Serie genutzt werde. Die Vorinstanz sei in einem anderen Widerspruchsentscheid vom 21. August 2015 zum Schluss gekommen, dass die Widerspruchmarke "JOY (fig.)" über keinen direkt beschreibenden Sinngehalt verfüge. Sämtliche Waren und Dienstleistungen würden sich an Endverbraucher, welche die Zeichen nicht unterscheiden können, wenden. Der Beschwerdegegner bringt vor, wenn eine schwache Marke wie "JOY (fig.)" aufgrund der Dauer des Gebrauchs und der Intensität der Werbung in ihrer Gesamtheit eine erhöhte Verkehrsbekanntheit erlangt hätte, bedeute dies noch nicht, dass sie ein gemeinfreies Wortelement wie "enjoy" monopolisieren dürfe. Die Vorinstanz habe zu Recht entschieden, dass der Schutzumfang der Widerspruchsmarke durch die Sphäre des Gemeinguts begrenzt werde. Dass sie eine erhöhte Verkehrsbekanntheit in der Schweiz erlangt habe, sei nicht bewiesen. Die relative Bekanntheit betreffe nur das Magazin "JOY" (Druckereierzeugnisse der Klasse 16), während sie für die anderen Waren keine Bekanntheit geniesse.</w:t>
      </w:r>
    </w:p>
    <w:p>
      <w:r>
        <w:rPr>
          <w:b/>
        </w:rPr>
        <w:t>E. 6.2</w:t>
      </w:r>
    </w:p>
    <w:p>
      <w:r>
        <w:t>Entgegen der Ausführungen der Vorinstanz und des Beschwerdegegners hängt die Verwechslungsgefahr (unter anderem) von der Kennzeichnungskraft der älteren Marke ab (Gallus Joller, a.a.O., Art. 3 N. 46). Die Vorinstanz hingegen geht davon aus, dass es sich bei "enjoy" um ein gemeinfreies Wortelement handelt. Sie setzt damit fälschlicherweise bei der Kennzeichnungskraft der jüngeren Marke an.</w:t>
      </w:r>
    </w:p>
    <w:p>
      <w:r>
        <w:rPr>
          <w:b/>
        </w:rPr>
        <w:t>E. 6.3</w:t>
      </w:r>
    </w:p>
    <w:p>
      <w:r>
        <w:t>In Übereinstimmung mit der vorinstanzlichen Amtspraxis hat die Widerspruchsmarke "JOY (fig.)" in Bezug auf die relevanten Waren und Dienstleistungen keinen beschreibenden Charakter und ist auch nicht gemeinfrei (vgl. Entscheide des IGE Nr. 14303 und 14304 vom 26. Januar 2017, Nr. 14080 vom 21. August 2015 und Nr. 13721 vom 3. Dezember 2014). Umstände, die ein Abweichen von dieser Praxis begründen könnten, werden nicht dargelegt und sind auch nicht ersichtlich. Es ist von einer normalen Kennzeichnungskraft der Widerspruchsmarke auszugehen. Die Frage, ob eine erhöhte Kennzeichnungskraft anzunehmen sei, wie die Beschwerdeführerin geltend macht, kann indes offen bleiben. Denn bereits bei Annahme einer normalen Kennzeichnungskraft kann die Verwechslungsgefahr in einer Gesamtbetrachtung nicht ausgeschlossen werden.</w:t>
      </w:r>
    </w:p>
    <w:p>
      <w:r>
        <w:rPr>
          <w:b/>
        </w:rPr>
        <w:t>E. 7.1</w:t>
      </w:r>
    </w:p>
    <w:p>
      <w:r>
        <w:t>Das Entstehen einer Verwechslungsgefahr beurteilt sich in einer Gesamtbetrachtung. Die sich gegenüberstehenden Waren und Dienstleistungen sind teilweise gleich, teilweise stark gleichartig, weshalb bei der Beurteilung der Verwechslungsgefahr ein besonders strenger Massstab gilt (vgl. E. 4.2). Die Zeichen sind nach den verwendeten Wortelementen, dem Wortklang und dem Sinngehalt sehr ähnlich, zumal die jüngere Marke die ältere Marke vollständig übernimmt (vgl. E. 5.2). Die Widerspruchsmarke verfügt zumindest über normale Kennzeichnungskraft (vgl. E. 6.3). Auch bei der Annahme, dass die anfechtende Marke eine normale und keine erhöhte Kennzeichnungskraft hat, führt die Übernahme des Hauptelements in die angefochtene Marke zur Gefahr möglicher Fehlzurechnungen durch die massgeblichen Verkehrskreise (vgl. E. 4.3). Die Verwechslungsgefahr zwischen den strittigen Zeichen ist damit begründet. Die Beschwerde ist gutzuheissen.</w:t>
      </w:r>
    </w:p>
    <w:p>
      <w:r>
        <w:rPr>
          <w:b/>
        </w:rPr>
        <w:t>E. 7.2</w:t>
      </w:r>
    </w:p>
    <w:p>
      <w:r>
        <w:t>Die Abweisung des Widerspruchs Nr. 14094 in Dispositiv-Ziffer 1 der angefochten Verfügung ist aufzuheben und die Vorinstanz in Anwendung von Art. 61 Abs. 1 VwVG anzuweisen, die Eintragung der schweizerischen Marke Nr. 666'172 "ENJOY (fig.)" in der Klasse 41 für alle beanspruchten Dienstleistungen und in den Klassen 9 und 16 für die genannten Waren (Bst. D) zu verweigern.</w:t>
      </w:r>
    </w:p>
    <w:p>
      <w:r>
        <w:rPr>
          <w:b/>
        </w:rPr>
        <w:t>E. 8</w:t>
      </w:r>
    </w:p>
    <w:p>
      <w:r>
        <w:t>Bei diesem Ausgang des Verfahrens wird der Beschwerdegegner kosten- und entschädigungspflichtig (Art. 63 Abs. 1 VwVG; Art. 64 Abs. 1 VwVG).</w:t>
      </w:r>
    </w:p>
    <w:p>
      <w:r>
        <w:rPr>
          <w:b/>
        </w:rPr>
        <w:t>E. 8.1</w:t>
      </w:r>
    </w:p>
    <w:p>
      <w:r>
        <w:t>Die Gerichtsgebühr ist nach Umfang und Schwierigkeit der Streitsache, Art der Prozessführung und finanzieller Lage der Parteien festzusetzen (Art. 63 Abs. 4bis VwVG, Art. 2 Abs. 1 des Reglements vom 21. Februar 2008 über die Kosten und Entschädigungen vor dem Bundesverwaltungsgericht [VGKE, SR 173.320.2]). Bei Streitigkeiten mit Vermögensinteresse bemisst sich die Gebühr nach dem Streitwert (Art. 4 VGKE). Der Streitwert eines Widerspruchsbeschwerdeverfahrens richtet sich nach dem Interesse an der Löschung beziehungsweise am Bestand der angefochtenen Marke, wobei bei eher unbedeutenden Zeichen von einem Streitwert zwischen Fr. 50'000.- und Fr. 100'000.- ausgegangen werden darf (BGE 133 III 490 E. 3.3 "Turbinenfuss", mit Hinweisen). In Anwendung der gesetzlichen Bemessungsfaktoren sind die Verfahrenskosten auf insgesamt Fr. 4'000.- festzulegen. Der von der Beschwerdeführerin in dieser Höhe geleistete Kostenvorschuss ist ihr zurückzuerstatten.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Da die Beschwerdeführerin keine Kostennote eingereicht hat, ist die Entschädigung auf Grund der Akten festzusetzen (Art. 14 Abs. 2 i.V.m. Art. 7 Abs. 1 VGKE). Der Beschwerdegegner hat die Beschwerdeführerin mit Fr. 4'000.- zu entschädigen.</w:t>
      </w:r>
    </w:p>
    <w:p>
      <w:r>
        <w:rPr>
          <w:b/>
        </w:rPr>
        <w:t>E. 8.3</w:t>
      </w:r>
    </w:p>
    <w:p>
      <w:r>
        <w:t>Aufgrund des Verfahrensausgangs vor Gericht gilt der Beschwerdegegner nunmehr auch in Bezug auf das vorinstanzliche Verfahren als unterliegende Partei. Nach Art. 34 MSchG bestimmt die Vorinstanz, ob und in welchem Masse die Kosten der obsiegenden Partei von der unterliegenden zu ersetzen sind. Die Vorinstanz sprach keine Parteientschädigung zu, weil der Beschwerdegegner keine Stellungnahme eingereicht hatte. Dispositiv Ziff. 3 der angefochtenen Verfügung ist aufzuheben und dadurch zu ersetzen, dass der Beschwerdegegner die Beschwerdeführerin für das erstinstanzliche Verfahren mit Fr. 1'000.- zu entschädigen hat. Dispositiv Ziff. 2 der angefochtenen Verfügung, die bestimmt, dass die Widerspruchsgebühr der Vorinstanz verbleibt, ist nicht aufzuheben. Da die Widerspruchsgebühr von Fr. 800.- von der Beschwerdeführerin vorgeleistet wurde, ist der Beschwerdegegner zu verpflichten, ihr diese zu ersetzen.</w:t>
      </w:r>
    </w:p>
    <w:p>
      <w:r>
        <w:rPr>
          <w:b/>
        </w:rPr>
        <w:t>E. 8.4</w:t>
      </w:r>
    </w:p>
    <w:p>
      <w:r>
        <w:t>Gegen dieses Urteil ist die Beschwerde an das Bundesgericht nicht gegeben (Art. 73 BGG). Das Urteil erwächst mit Eröffnung in Rechtskraft. Demnach erkennt das Bundesverwaltungsgericht: 1. Die Beschwerde wird gutzuheissen. Ziffer 1 und Ziffer 3 der angefochtenen Verfügung werden aufgehoben. Die Vorinstanz wird angewiesen, die Eintragung im Sinne der Erwägungen teilweise zu widerrufen. 2. Die Verfahrenskosten von Fr. 4'000.- werden dem Beschwerdegegner auferlegt und sind innert 30 Tagen ab Eröffnung dieses Urteils zu Gunsten der Gerichtskasse zu überweisen. 3. Der Beschwerdeführerin wird der Kostenvorschuss von Fr. 4'000.- aus der Gerichtskasse zurückerstattet. 4. Der Beschwerdegegner hat die Beschwerdeführerin für das Verfahren vor Bundesverwaltungsgericht mit Fr. 4'000.- zu entschädigen. 5. Der Beschwerdegegner hat die Beschwerdeführerin für das Verfahren vor Vorinstanz mit Fr. 1'000.- zu entschädigen. 6. Der Beschwerdegegner hat der Beschwerdeführerin die Widerspruchsgebühr von Fr. 800.- zu ersetzen. 7. Dieses Urteil geht an: - die Beschwerdeführerin (Einschreiben; Beilagen: Beschwerdebeilagen zurück und Rückerstattungsformular) - den Beschwerdegegner (Einschreiben; Beilagen: Beilagen zurück und Einzahlungsschein) - die Vorinstanz (Ref-Nr. 14094 - JOY; Einschreiben; Beilagen: Vorakten zurück) Der vorsitzende Richter: Der Gerichtsschreiber: Daniel Willisegger Pascal Waldvogel Versand: 26. Oktober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