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B-5292/2012 vom 3. Mai 2013</w:t>
      </w:r>
    </w:p>
    <w:p>
      <w:r>
        <w:t>Bundesverwaltungsgericht, 2013-05-03, FR</w:t>
      </w:r>
    </w:p>
    <w:p>
      <w:r>
        <w:rPr>
          <w:b/>
        </w:rPr>
        <w:t xml:space="preserve">Quelle: </w:t>
      </w:r>
      <w:r>
        <w:t>https://mcp.opencaselaw.ch/entscheid/bvger_B-5292_2012</w:t>
      </w:r>
    </w:p>
    <w:p>
      <w:r>
        <w:t>FR: TAF B-5292/2012 du 3 mai 2013</w:t>
      </w:r>
    </w:p>
    <w:p>
      <w:r>
        <w:t>IT: TAF B-5292/2012 del 3 maggio 2013</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l'espèce, la Commission suisse de maturité est une autorité au sens de l'art. 33 let. f LTAF, en relation avec l'art. 29 de l'ordonnance du 7 décembre 1998 sur l'examen suisse de maturité (RS 413.12 ; ci-après : l'ordonnance ESM). Aucune des exceptions figurant à l'art. 32 LTAF n'étant par ailleurs réalisée, le Tribunal administratif fédéral est dès lors compétent pour statuer sur le présent recours.</w:t>
      </w:r>
    </w:p>
    <w:p>
      <w:r>
        <w:rPr>
          <w:b/>
        </w:rPr>
        <w:t>E. 1.3.1</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1.3.2</w:t>
      </w:r>
    </w:p>
    <w:p>
      <w:r>
        <w:t>Selon la jurisprudence applicable en matière d'examens, il existe un intérêt juridique suffisant au contrôle du résultat global d'une série d'examens ou à celui de l'une des notes spécifiques dont ce résultat dépend lorsqu'il est en particulier question de l'échec (cf. ATF 136 I 229 consid. 2.6 ; arrêt du Tribunal administratif fédéral [TAF] B-2613/2012 du 15 mars 2013 consid. 1.2 et réf. cit.). Dans le cadre de l'examen suisse de maturité où les candidats ont la possibilité de présenter leurs épreuves en deux sessions (examens partiels), la qualification juridique de l'acte par lequel l'autorité inférieure communique les notes obtenues au premier examen partiel n'est pas évidente. En effet, lors même qu'elle communique les notes obtenues pour chacune des épreuves du premier partiel, l'autorité inférieure ne statue pas encore sur la réussite ou non de l'examen suisse de maturité dans son ensemble. Il se pose dès lors la question de savoir si la recevabilité du recours immédiat contre un tel acte ne devrait pas être subordonnée aux conditions de l'art. 46 al. 1 PA. Cela étant, jusqu'ici, le Tribunal administratif fédéral est entré sans autre en matière sur les recours interjetés contre ces actes - notamment en lien avec les examens partiels présentés à la session d'été 2012 - de sorte qu'il serait malvenu de réexaminer cette pratique dans le cas présent. Pour le reste, compte tenu du fait que, dans le cadre d'examens partiels, les notes sanctionnant la seconde partie ne sont pas encore connues, il y a lieu d'admettre que celles de la première partie peuvent avoir une incidence sur le résultat global de la série d'examens. Au vu de ce qui précède, le recours en tant qu'il porte sur la contestation des notes de physique et d'arts visuels du premier partiel de l'examen suisse de maturité est recevable.</w:t>
      </w:r>
    </w:p>
    <w:p>
      <w:r>
        <w:rPr>
          <w:b/>
        </w:rPr>
        <w:t>E. 1.3.3</w:t>
      </w:r>
    </w:p>
    <w:p>
      <w:r>
        <w:t>Pour le reste, le recours a été déposé dans la forme (art. 52 al. 1 PA) et le délai (art. 50 al. 1 PA) prescrits ; l'avance de frais a été versée à terme (art. 63 al. 4 PA). Dans ces conditions, le recours est recevable.</w:t>
      </w:r>
    </w:p>
    <w:p>
      <w:r>
        <w:rPr>
          <w:b/>
        </w:rPr>
        <w:t>E. 2</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ATF 121 I 225 consid. 4b ; ATAF 2010/11 consid. 4.1, ATAF 2008/14 consid. 3.1 ; Herbert Plotke, Schweizerisches Schulrecht, 2ème éd., Berne 2003, p. 722 ss ; Blaise Knapp, Précis de droit administratif, 4ème éd., Bâle 1991, n° 614). En effet, l'évaluation des épreuves requiert le plus souvent des connaissances particulières dont l'autorité de recours ne dispose pas (cf. ATF 118 Ia 488 consid. 4c ; Pierre Moor/Alexandre Flückiger/Vincent Martenet, Droit administratif, volume I : Les fondements, 3ème éd., Berne 2012, pt 4.3.3.2 p. 749 ss). Cela étant, cette retenue s'impose également dans les cas où l'autorité de recours serait en mesure de se livrer à une évaluation plus approfondie, en raison de ses propres connaissances professionnelles sur le fond (cf. ATF 131 I 467 consid. 3.1, ATF 121 I 225 consid. 4b). De plus, de par leur nature, les décisions en matière d'examens ne se prêtent pas bien à un contrôle judiciaire, étant donné que l'autorité de recours ne connaît pas tous les facteurs d'évaluation et n'est, en règle générale, à même de juger de la qualité ni de l'ensemble des épreuves des recourants ni de celles des autres candidats. Un libre examen des décisions en cette matière pourrait ainsi engendrer des inégalités de traitement (cf. ATAF 2010/11 consid. 4.1, ATAF 2008/14 consid. 3.1, ATAF 2007/6 consid. 3 et réf. cit.).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réf. cit. ; arrêt du TAF C-2042/2007 du 11 septembre 2007 consid. 3.1 ; JAAC 69.35 consid. 2). La retenue dans le pouvoir d'examen ne s'avère toutefois admissible qu'à l'égard de l'évaluation proprement dite des prestations. Dans la mesure où les recourants contestent l'interprétation et l'application de prescriptions légales ou s'ils se plaignent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déroulées (cf. ATAF 2010/11 consid. 4.2, ATAF 2008/14 consid. 3.3, ATAF 2007/6 consid. 3 et réf. cit. ; arrêt du TAF C-7679/2006 du 14 juin 2007 consid. 2 ; JAAC 56.16 consid. 2.2 ; PLOTKE, op. cit., p. 725 ss).</w:t>
      </w:r>
    </w:p>
    <w:p>
      <w:r>
        <w:rPr>
          <w:b/>
        </w:rPr>
        <w:t>E. 3.1</w:t>
      </w:r>
    </w:p>
    <w:p>
      <w:r>
        <w:t>L'ordonnance ESM régit l'examen suisse de maturité qui confère le certificat de maturité gymnasiale s'il est réussi (art. 1 al. 1). La Commission suisse de maturité est responsable du déroulement de l'examen suisse de maturité ; le Secrétariat d'État à la formation, à la recherche et à l'innovation (ci-après : le SEFRI ; avant le 1er janvier 2013 : le Secrétariat d'État à l'éducation et à la recherche [le SER]) est responsable du secrétariat et de la direction administrative de l'examen (art. 2). Selon l'art. 8 al. 1 de l'ordonnance ESM, l'examen doit permettre de juger si le candidat possède la maturité nécessaire aux études supérieures. À teneur de l'art. 12 de l'ordonnance ESM, les examinateurs corrigent les épreuves écrites et préparent, conduisent et évaluent les épreuves orales (al. 1), tandis que les experts prennent connaissance des prestations écrites du deuxième examen partiel (art. 20), assistent aux épreuves orales des différentes disciplines et participent à l'évaluation des candidats (al. 2). L'examen comporte douze disciplines de maturité qui s'organisent en dix disciplines fondamentales, en une option spécifique et en une option complémentaire (art. 14 al. 1 let. a à c de l'ordonnance ESM). En vertu de l'art. 18 al. 2 de l'ordonnance ESM, dans les disciplines fondamentales, les épreuves de biologie, de chimie, de physique, d'histoire et de géographie sont écrites. Selon l'al. 4 de cette même disposition, les épreuves des arts visuels sont écrites et pratiques ; elles se doublent d'un oral si cette discipline est choisie comme option spécifique. L'examen peut, au choix du candidat, être présenté en une seule session (examen complet) ou réparti sur deux sessions (examens partiels) ; dans ce dernier cas, le candidat commence en se présentant au premier examen partiel (art. 20 al. 1 et 2 de l'ordonnance ESM). Selon l'art. 20 al. 3 de l'ordonnance ESM, le premier examen partiel porte sur les disciplines fondamentales suivantes : biologie, chimie, physique, histoire, géographie, arts visuels ou musique (let. a à f). Conformément à l'art. 21 al. 1 de l'ordonnance ESM, les prestations dans chacune des douze disciplines de maturité et dans le travail de maturité sont exprimées en notes entières et en demi-notes ; la meilleure note est 6, la plus mauvaise 1, et les notes en dessous de 4 sanctionnent des prestations insuffisantes. En vertu du second alinéa de cette disposition, les notes des épreuves orales sont attribuées conjointement par l'expert et par l'examinateur ; dans les disciplines soumises à plusieurs types d'épreuves, la note finale est la moyenne, arrondie si nécessaire.</w:t>
      </w:r>
    </w:p>
    <w:p>
      <w:r>
        <w:rPr>
          <w:b/>
        </w:rPr>
        <w:t>E. 3.2</w:t>
      </w:r>
    </w:p>
    <w:p>
      <w:r>
        <w:t>L'art. 10 al. 1 de l'ordonnance ESM prévoit que la Commission suisse de maturité édicte des directives pour la Suisse alémanique, pour la Suisse romande et pour la Suisse italienne ; ces directives fixent notamment les objectifs et les programmes détaillés des disciplines (al. 1 let. b) ainsi que les procédures et les critères d'évaluation (al. 1 let. c). Se fondant sur cette disposition, la commission précitée a édicté, en mars 2011, les directives de l'examen suisse de maturité, valables dès le 1er janvier 2012 (ci-après : les directives ; en ligne sur le site Internet du SEFRI http://www.sbf.admin.ch/index.html?lang=fr &gt; Thèmes &gt; Education générale &gt; Maturité &gt; Examen suisse de maturité, consulté, la dernière fois, le 24 avril 2013).</w:t>
      </w:r>
    </w:p>
    <w:p>
      <w:r>
        <w:rPr>
          <w:b/>
        </w:rPr>
        <w:t>E. 3.3</w:t>
      </w:r>
    </w:p>
    <w:p>
      <w:r>
        <w:t>Les directives fixent les objectifs, la procédure d'examen, les critères d'évaluation et le programme à leurs points 4.1, 4.2, 4.3 ainsi que 4.6 s'agissant de la physique en discipline fondamentale et à leur point 6.3 en ce qui concerne les arts visuels en discipline fondamentale ou en option complémentaire. Elles prévoient, en particulier, au titre "propagation des ondes" sous la rubrique "optique géométrique et ondes" du programme de physique, que les candidats sont capables d'expliquer et d'appliquer les lois de réflexion et de réfraction (pt 4.6.2 p. 45 des directives).</w:t>
      </w:r>
    </w:p>
    <w:p>
      <w:r>
        <w:rPr>
          <w:b/>
        </w:rPr>
        <w:t>E. 4.1</w:t>
      </w:r>
    </w:p>
    <w:p>
      <w:r>
        <w:t>En l'espèce, la recourante fait d'abord valoir que les notes qui lui ont été attribuées pour les deux épreuves concernées ne reflètent, de manière générale, ni les notes qu'elle a obtenues au cours de sa scolarité ni les résultats de ses examens de préparation. Or, force est de constater que cet argument ne saurait avoir une quelconque portée, dès lors que la réussite d'un examen ne dépend que des prestations fournies lors de celui-ci et non pas d'évaluations ou de notes obtenues pour d'autres examens ou des épreuves préparatoires (cf. notamment arrêt du TAF B-1589/2009 du 25 juin 2009 consid. 5.1). L'assiduité et la régularité dont a fait preuve la recourante au long de son année scolaire peut certes témoigner d'une volonté louable de sa part, mais ne saurait avoir une incidence sur le sort du recours. Le Tribunal, ainsi que les examinateurs auparavant, ne doivent se prononcer que sur la question litigieuse de l'examen, sur son résultat et non sur les efforts qu'estime avoir faits la recourante (cf. notamment arrêt du TAF B-5489/2011 du 26 avril 2012 consid. 4.3). Dans ces conditions, ce premier argument doit être écarté.</w:t>
      </w:r>
    </w:p>
    <w:p>
      <w:r>
        <w:rPr>
          <w:b/>
        </w:rPr>
        <w:t>E. 4.2</w:t>
      </w:r>
    </w:p>
    <w:p>
      <w:r>
        <w:t>Remettant ensuite en cause le résultat de son examen de physique, la recourante allègue, en substance, que le quatrième problème ne figure pas au programme de physique en discipline fondamentale décrit dans les nouvelles directives pour l'examen suisse de maturité valables dès 2012. Elle souligne que le terme "lentille" n'apparaît pas dans celles-ci et que le thème de la réfraction peut être analysé sans référence aux phénomènes observés par le biais d'une lentille. Elle ajoute que le temps qu'elle a dû consacrer à la compréhension et à la résolution de ce problème l'a déstabilisée, en la retardant notamment pour celles des autres. Dans son rapport sur l'épreuve de physique en discipline fondamentale du 18 mai 2012, l'évaluateur atteste en particulier que celle-ci s'avère adaptée au programme et au niveau des élèves, que les questions qu'elle contient portent sur le programme des directives et que le quatrième problème fait partie des exercices d'un niveau de difficulté simple ; il ajoute que l'épreuve teste le programme de manière intelligente, dès lors qu'elle donne à réfléchir en n'étant pas trop mathématisée. Dans le rapport d'évaluation validé par l'autorité inférieure, les correcteurs relèvent que, s'il est un peu long et exigeant, l'énoncé de l'examen est correct, clair et d'une difficulté adaptée ; ils exposent que le quatrième problème se situe à la limite supérieure du programme, mais qu'il est traité ordinairement par les établissements publics. Selon le programme de physique en discipline fondamentale (pt 4.6.2 des directives), les candidats sont capables notamment, sous le titre intitulé "optique géométrique et ondes", d'expliquer et d'appliquer les lois de réflexion et de réfraction. Cette formulation se retrouve également telle quelle en page 46 des les directives valables du 1er janvier 2012 au 31 décembre 2014, soit celles applicables aux candidats ayant présenté un examen avant le 1er janvier 2012 dans les conditions définies par l'ancien droit. Bien que les directives qui étaient valables du 1er janvier 2009 au 31 décembre 2011 aient été révisées en ce qui concerne la physique en discipline fondamentale, elles prévoyaient de même, en page 46, que les candidats devaient être capables d'expliquer les phénomènes de réflexion, réfraction (loi de la réfraction) et diffraction. Le terme "optique géométrique" se définit comme l'ensemble des propositions, déduites du principe de Fermat, qui concernent la propagation en ligne droite de la lumière dans les milieux transparents (cf. Le Nouveau Petit Robert de la langue française 2013, Paris, p. 1751). Le terme "réfraction" désigne la déviation d'un rayon lumineux ou d'une onde électromagnétique, qui franchit la surface de séparation de deux milieux, dans lesquels les vitesses de propagation sont différentes, le rayon réfracté restant dans le plan formé par le rayon incident et la normale à la surface de séparation (ibidem, p. 2159). Enfin, le terme "lentille" se définit comme une substance réfringente transparente (verre, etc.) limitée par deux dioptres dont l'un au moins est courbe (ibidem, p. 1443), l'adjectif "réfringent" désignant ce qui produit la réfraction, ce qui fait dévier les rayons lumineux ou les ondes électromagnétiques (cf. ibidem, p. 2161). Il en résulte ainsi qu'une lentille qui produit par nature une réfraction fait partie intégrante du domaine de l'optique géométrique. Au vu de cela et compte tenu des objectifs énoncés dans les directives pour la physique en discipline fondamentale (pt 4.6.1 des directives), il ne paraît pas inapproprié d'inclure, dans un examen en la matière, un exercice tendant à tester les connaissances relatives à la réfraction par un problème de lentille. Rien ne permet de conclure qu'un tel exercice ne correspondrait pas au programme de physique en discipline fondamentale, du fait notamment que le terme "lentille" n'y figure pas. Dans ces conditions, les griefs avancés par la recourante ne sont pas pertinents. Au demeurant, il y a encore lieu de relever que, tenant compte de l'évaluation par le collège des correcteurs de l'épreuve et des résultats des candidats à la session d'été 2012, la direction des examens a adapté un barème visant à rehausser la moyenne générale. Ce faisant, la décision de l'autorité inférieure prend déjà en considération les particularités relatives à l'examen concerné par rapport à l'ensemble des candidats. Sous l'angle de ce qui a été rappelé au consid. 2, aucun élément au dossier ne permet de retenir que l'appréciation des prestations de la recourante s'avérerait, pour le reste, insoutenable.</w:t>
      </w:r>
    </w:p>
    <w:p>
      <w:r>
        <w:rPr>
          <w:b/>
        </w:rPr>
        <w:t>E. 4.3</w:t>
      </w:r>
    </w:p>
    <w:p>
      <w:r>
        <w:t>Enfin, s'agissant de son examen d'arts visuels, la recourante conteste la note qu'elle a obtenue pour son dessin d'observation, soutenant qu'une camarade de classe s'est vu attribuer une meilleure note qu'elle pour une prestation qu'elle estime équivalente à la sienne. Dans leur prise de position du 19 janvier 2013, les examinateurs exposent qu'il faudrait trois points supplémentaires à l'exercice d'observation pour que la note de 4.5 soit accordée à la recourante. Relevant que celle-ci a obtenu le maximum de points aux critères d'évaluation intitulés "présence des quatre éléments donnés au départ" ainsi que "perspective, transcription de l'espace et des volumes, valeurs" et aucun à celui intitulé "respect de la consigne", il leur restait à réexaminer les critères intitulés "intérêt de la composition" (critère 2), "adéquation et originalité du cadrage" (critère 3), "précision de l'observation, justesse des formes, respect des proportions" (critère 4), "qualité graphique des lignes" (critère 6) et "qualité graphique des valeurs et des textures" (critère 7). S'agissant de ces cinq derniers critères, les examinateurs expliquent, pour chacun d'entre eux, les raisons qui les ont amenés à n'octroyer qu'une partie des points maximaux ; ils soulignent ainsi que la disposition des objets se révèle très faible pour le critère 2, que le cadrage n'est pas assez serré pour le critère 3, que la précision de l'observation est juste un peu au-dessus de la moyenne pour le critère 4, les proportions du verre n'étant pas respectées, que la qualité des lignes est moyenne pour le critère 6, les ellipses étant approximatives et les traits peu sensibles, et que la qualité des textures est très médiocre pour le critère 7, en particulier en ce qui touche à l'écorce du quartier de citron. Ils en concluent que le total des 23 points accordés qui aboutit, selon le barème, à une note de 3.9 - soit celle de 4 après arrondissement - reflète bien la qualité générale du travail rendu. Conformément à ce qui a été précisé sous le consid. 2 ci-dessus et selon la jurisprudence constante du tribunal de céans, il convient de rappeler que l'autorité de recours n'est pas tenue ni légitimée à substituer sa propre appréciation à celle de l'autorité inférieure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arrêts du TAF B-4808/2012 du 11 décembre 2012 consid. 4.2.3,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 du TAF B-7354/2008 précité consid. 4.3). Dès lors qu'il n'appartient pas à l'autorité de recours de répéter en quelque sorte l'examen, il sied de poser certaines exigences quant à la preuve de la prétendue inopportunité ; les griefs doivent en particulier être soutenus par des arguments objectifs et des moyens de preuve (cf. arrêts du TAF B-7354/2008 précité consid. 4.3 et B-6261/2008 précité consid. 4.1). En l'occurrence, au regard de la jurisprudence citée, il appert que le grief de la recourante n'est soutenu par aucun argument objectif ou moyen de preuve propre à remettre en cause l'évaluation qu'ont faite les deux examinateurs de son épreuve d'arts visuels. La recourante, qui ne s'est pas prononcée concrètement sur les différents éléments développés par ceux-ci dans leur prise de position respective sur le recours, alors qu'elle avait le loisir de le faire, oppose en définitive sa propre appréciation de son épreuve à celle qu'ont dûment motivée les examinateurs, ce qui n'est en soi pas admis. Partant, ce grief doit être écarté.</w:t>
      </w:r>
    </w:p>
    <w:p>
      <w:r>
        <w:rPr>
          <w:b/>
        </w:rPr>
        <w:t>E. 5</w:t>
      </w:r>
    </w:p>
    <w:p>
      <w:r>
        <w:t>Il résulte de ce qui précède que l'acte attaqué ne viole pas le droit fédéral, ne constate pas les faits pertinents de manière inexacte ou incomplète et n'est pas inopportun (art. 49 PA). Mal fondé, le recours doit être rejeté.</w:t>
      </w:r>
    </w:p>
    <w:p>
      <w:r>
        <w:rPr>
          <w:b/>
        </w:rPr>
        <w:t>E. 6</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doivent être fixés à Fr. 500.- ; ils sont entièrement compensés par l'avance de frais de Fr. 500.- effectuée, le 16 octobre 2012, par la recourante.</w:t>
      </w:r>
    </w:p>
    <w:p>
      <w:r>
        <w:rPr>
          <w:b/>
        </w:rPr>
        <w:t>E. 7</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