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B-5285/2018 vom 6. Mai 2019</w:t>
      </w:r>
    </w:p>
    <w:p>
      <w:r>
        <w:t>Bundesverwaltungsgericht, 2019-05-06, DE</w:t>
      </w:r>
    </w:p>
    <w:p>
      <w:r>
        <w:rPr>
          <w:b/>
        </w:rPr>
        <w:t xml:space="preserve">Quelle: </w:t>
      </w:r>
      <w:r>
        <w:t>https://mcp.opencaselaw.ch/entscheid/bvger_B-5285_2018</w:t>
      </w:r>
    </w:p>
    <w:p>
      <w:r>
        <w:t>FR: TAF B-5285/2018 du 6 mai 2019</w:t>
      </w:r>
    </w:p>
    <w:p>
      <w:r>
        <w:t>IT: TAF B-5285/2018 del 6 maggio 2019</w:t>
      </w:r>
    </w:p>
    <w:p>
      <w:pPr>
        <w:pStyle w:val="Heading2"/>
      </w:pPr>
      <w:r>
        <w:t>Regeste</w:t>
      </w:r>
    </w:p>
    <w:p>
      <w:r>
        <w:t>Höhere Fachprüfung</w:t>
      </w:r>
    </w:p>
    <w:p>
      <w:pPr>
        <w:pStyle w:val="Heading2"/>
      </w:pPr>
      <w:r>
        <w:t>Erwägungen</w:t>
      </w:r>
    </w:p>
    <w:p>
      <w:r>
        <w:rPr>
          <w:b/>
        </w:rPr>
        <w:t>E. 1.1</w:t>
      </w:r>
    </w:p>
    <w:p>
      <w:r>
        <w:t>Der angefochtene Beschwerdeentscheid der Vorinstanz vom 26. Juli 2018 ist eine Verfügung im Sinn von Art. 5 Abs. 2 des Verwaltungsverfahrensgesetzes vom 20. Dezember 1968 (VwVG, SR 172.021). Das Bundesverwaltungsgericht ist für die Beurteilung der vorliegenden Beschwerde zuständig (Art. 61 Abs. 2 des Berufsbildungsgesetzes vom 13. Dezember 2002 [BBG, SR 412.10] i.V.m. Art. 31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Die Beschwerde wurde innerhalb der gesetzlichen Frist eingereicht (Art. 50 Abs. 1 VwVG). Die Anforderungen an Form und Inhalt der Rechtsschrift sind erfüllt und der Kostenvorschuss wurde rechtzeitig geleistet (Art. 52 Abs. 1 und Art. 63 Abs. 4 VwVG).</w:t>
      </w:r>
    </w:p>
    <w:p>
      <w:r>
        <w:rPr>
          <w:b/>
        </w:rPr>
        <w:t>E. 1.3</w:t>
      </w:r>
    </w:p>
    <w:p>
      <w:r>
        <w:t>Auf die Beschwerde ist daher einzutreten.</w:t>
      </w:r>
    </w:p>
    <w:p>
      <w:r>
        <w:rPr>
          <w:b/>
        </w:rPr>
        <w:t>E. 2.1</w:t>
      </w:r>
    </w:p>
    <w:p>
      <w:r>
        <w:t>Das eidgenössische Diplom als diplomierter Elektroinstallateur erhält, wer die höhere Fachprüfung "diplomierter Elektroinstallateur" mit Erfolg bestanden hat (Art. 43 Abs. 1 BBG i.V.m. Art. 21 Abs. 4 und Art. 24 Abs. 1 und 3 des erstinstanzlichen Reglements vom 25. Juni 2003 über die Durchführung der Berufs- und höheren Fachprüfungen im Elektro- und Telematik-Installationsgewerbe [im Folgenden: Reglement; zu finden unter: &lt;https://www.vsei.ch&gt; &gt; Berufsbildung &gt; Höhere Fachprüfungen nach R 2003 &gt; Dipl. Elektroinstallateur/in &gt; Reglement, abgerufen am 25. Februar 2019]).</w:t>
      </w:r>
    </w:p>
    <w:p>
      <w:r>
        <w:rPr>
          <w:b/>
        </w:rPr>
        <w:t>E. 2.2</w:t>
      </w:r>
    </w:p>
    <w:p>
      <w:r>
        <w:t>Nach Art. 21 Abs. 4 des Reglements gilt die höhere Fachprüfung "diplomierter Elektroinstallateur" als bestanden, wenn weder die Durchschnittsnote der Schule in den Fächern 1 bis 5 (Schulnoten) noch die Fachnoten der Fächer 6 bis 8 der Prüfung die Note 4 unterschritten haben. Dabei wird laut Reglement unter "Schule" ein Ausbildungsinstitut verstanden, welches die Kandidaten ausbildet und Prüfungen gemäss den Weisungen der Prüfungskommission durchführt (vgl. unter "1 Allgemeines" Abs. 3 des Reglements). Die Prüfung umfasst nach Art. 16 Abs. 4 des Reglements folgende Fächer: "Gebäudetechnik II (Schulnote)" (Fach 1), "Telematik/Netzwerktechnik (Schulnote)" (Fach 2), "Betriebswirtschaft (Schulnote)" (Fach 3), "Unternehmensführung (Schulnote)" (Fach 4), "Marketing (Schulnote)" (Fach 5), "Projektierung" (Fach 6), "Technische Projektanalyse" (Fach 7), "Betriebswirtschaftliche Projektanalyse" (Fach 8). Die Leistungen werden mit Noten von 1 bis 6 bewertet, wobei die Note 4 und höhere Noten genügende und Noten unter 4 ungenügende Leistungen bezeichnen (Art. 20 Abs. 1 des Reglements). Laut Art. 19 Abs. 2 des Reglements ist die Gesamtnote der Diplomprüfung das Mittel aller an der Prüfung erteilten Fachnoten und dem Durchschnitt der Schulnoten, wobei die Gesamtnote und die Fachnoten auf eine Dezimalstelle gerundet werden.</w:t>
      </w:r>
    </w:p>
    <w:p>
      <w:r>
        <w:rPr>
          <w:b/>
        </w:rPr>
        <w:t>E. 2.3</w:t>
      </w:r>
    </w:p>
    <w:p>
      <w:r>
        <w:t>Gemäss dem Prüfungszeugnis vom 16. August 2017 erzielte der Beschwerdeführer die Schlussnote 4.2, wobei er im Fach "Projektierung" (Fach 6) die Note 3.5 erhielt. Damit ist zwar insgesamt nur eine Fachnote unter 4.0 gegeben. Die Voraussetzung nach Art. 21 Abs. 4 des Reglements, wonach unter anderem die Note im Fach 6 die Note 4 nicht unterschreiten darf, ist jedoch nicht erfüllt. Deshalb qualifizierte die Erstinstanz die vom Beschwerdeführer abgelegte höhere Fachprüfung diplomierter Elektroinstallateur (HE) als nicht bestanden.</w:t>
      </w:r>
    </w:p>
    <w:p>
      <w:r>
        <w:rPr>
          <w:b/>
        </w:rPr>
        <w:t>E. 2.4</w:t>
      </w:r>
    </w:p>
    <w:p>
      <w:r>
        <w:t>Der Beschwerdeführer rügt vorab formell eine Verletzung des Akteneinsichtsrechts und die Nichtberücksichtigung der Beweismittel beziehungsweise Tatsachen, die er in seiner Triplik vom 12. Februar 2018 im vorinstanzlichen Verfahren vorgebracht habe. In materieller Hinsicht rügt er die Bewertung der schriftlichen und mündlichen Prüfung im Fach "Projektierung" mit der Note 3.5.</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 gleich wie die Vorinstanz - Entscheide über Ergebnisse von Prüfungen grundsätzlich mit uneingeschränkter Kognition (Art. 49 VwVG; vgl. auch Zibung/Hofstetter, in: Waldmann/Weissenberger [Hrsg.], Praxiskommentar Verwaltungsverfahrensgesetz [VwVG], 2. Aufl. 2016 [im Folgenden: Praxiskommentar VwVG], Art. 49 N 43). Indes haben Prüfungen oftmals Spezialgebiete zum Gegenstand, in denen die Rechtsmittelbehörde in der Regel über keine genügenden eigenen Fachkenntnisse verfügt. Zudem sind der Rechtsmittelbehörde zumeist nicht alle massgebenden Faktoren der Bewertung bekannt und ist es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zum Ganzen statt vieler: Urteil des BVGer B-2585/2017 vom 21. Dezember 2018 E. 4.2; BVGE 2008/14 E. 3.1).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die beschwerdeführende Person selbst substantiierte und überzeugende Anhaltspunkte sowie die entsprechenden Beweismittel dafür liefert, dass das Ergebnis materiell nicht vertretbar ist, eindeutig zu hohe Anforderungen gestellt oder die Prüfungsleistungen offensichtlich unterbewertet wurden (vgl. zum Ganzen: Urteil des BVGer B-2585/2017 vom 21. Dezember 2018 E. 4.2 und BVGE 2010/21 E. 5.1, je mit Hinweis).</w:t>
      </w:r>
    </w:p>
    <w:p>
      <w:r>
        <w:rPr>
          <w:b/>
        </w:rPr>
        <w:t>E. 3.3</w:t>
      </w:r>
    </w:p>
    <w:p>
      <w:r>
        <w:t>Das Bundesverwaltungsgericht weicht nicht ohne Not von der Beurteilung der Experten ab, nicht zuletzt wenn diese im Rahmen der Vernehmlassung der Vorinstanz Stellung zu den Rügen der beschwerdeführenden Person genommen haben und die Auffassung der Experten, insbesondere soweit sie von derjenigen der beschwerdeführenden Person abweicht, nachvollziehbar und einleuchtend ist (Urteil des BVGer B-2585/2017 vom 21. Dezember 2018 E. 4.3 mit Hinweisen; vgl. statt vieler: BVGE 2010/11 E. 4.2 und 2008/14 E. 3.1-3.2 und 4.3.2, je mit Hinweisen).</w:t>
      </w:r>
    </w:p>
    <w:p>
      <w:r>
        <w:rPr>
          <w:b/>
        </w:rPr>
        <w:t>E. 3.4</w:t>
      </w:r>
    </w:p>
    <w:p>
      <w:r>
        <w:t>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zum Ganzen: BVGE 2010/11 E. 4.2, 2008/14 E. 3.3 mit Hinweisen, und Urteil des BVGer B-2585/2017 vom 21. Dezember 2018 E. 4.4). Hierbei nehmen all jene Einwände auf Verfahrensfragen Bezug, die den äusseren Ablauf der Prüfung, die Aufgabenstellung oder das Vorgehen bei der Bewertung betreffen (Urteil des BGer 2D_6/2010 vom 24. Juni 2010 E. 5.2; Urteile des BVGer B-2585/2017 vom 21. Dezember 2018 E. 4.4 und B-6256/2009 vom 14. Juni 2010 E. 3 mit Hinweisen). Die Beweislast für allfällige Verfahrensfehler obliegt dem Beschwerdeführer.</w:t>
      </w:r>
    </w:p>
    <w:p>
      <w:r>
        <w:rPr>
          <w:b/>
        </w:rPr>
        <w:t>E. 4</w:t>
      </w:r>
    </w:p>
    <w:p>
      <w:r>
        <w:t>Vorab ist in formeller Hinsicht und von Amtes wegen zu prüfen, ob die Erstinstanz das Akteneinsichtsrecht des Beschwerdeführers verletzt hat.</w:t>
      </w:r>
    </w:p>
    <w:p>
      <w:r>
        <w:rPr>
          <w:b/>
        </w:rPr>
        <w:t>E. 4.1</w:t>
      </w:r>
    </w:p>
    <w:p>
      <w:r>
        <w:t>Der Anspruch auf rechtliches Gehör (Art. 29 Abs. 2 der Bundesverfassung vom 18. April 1999 [BV, SR 101]) umfasst als Mitwirkungsrecht all jene Befugnisse, die einer Partei einzuräumen sind, damit sie in einem Verfahren ihren Standpunkt wirksam zur Geltung bringen kann (BGE 135 II 286 E. 5.1 mit Hinweisen). Die von einer Verfügung betroffene Person hat insbesondere das Recht, zu den wesentlichen Punkten Stellung nehmen zu können, bevor der Entscheid gefällt wird; dazu muss sie vorweg Einsicht in die massgeblichen Akten nehmen können (vgl. BGE 132 II 485 E. 3.2). Das Recht auf Akteneinsicht bezieht sich grundsätzlich auf alle verfahrensbezogenen Akten, die geeignet sind, Grundlage des Entscheids zu bilden (vgl. Waldmann/Oeschger, Praxiskommentar VwVG, Art. 26 N 60 mit Hinweisen). Nach ständiger bundesgerichtlicher Praxis bleiben aber sogenannte verwaltungsinterne Akten vom verfassungsmässigen und gesetzlichen Akteneinsichtsrecht ausgeschlossen (vgl. BGE 125 II 473 E. 4a; Urteil des BGer 1C_159/2014 vom 10. Oktober 2014 E. 4.3; Häfelin/Müller/Uhlmann, Allgemeines Verwaltungsrecht, 7. Aufl. 2016, Rz. 1021; Waldmann/Oeschger, a.a.O., Art. 26 N 65; Müller/Schefer, Grundrechte in der Schweiz, 4. Aufl. 2008, S. 875 f., je mit Hinweisen). Als verwaltungsintern gelten Akten, denen für die Behandlung eines Falles kein Beweischarakter zukommt, sondern die ausschliesslich der verwaltungsinternen Willensbildung dienen und insofern lediglich für den verwaltungsinternen Eigengebrauch bestimmt sind (wie beispielsweise Entwürfe, Anträge, Notizen, Mitberichte, Hilfsbelege, Entscheidentwürfe etc.). Mit dem Ausschluss des Einsichtsrechts in diese Akten soll verhindert werden, dass die interne Meinungsbildung der Verwaltung vollumfänglich vor der Öffentlichkeit ausgebreitet wird (vgl. zum Ganzen: BGE 129 II 497 E. 2.2, 125 II 473 E. 4a, 122 I 153 E. 6a; Urteil des BGer 1C_159/2014 vom 10. Oktober 2014 E. 4.3, je mit Hinweisen). Solche Unterlagen werden vom Einsichtsrecht von vornherein nicht erfasst (vgl. Waldmann/Oeschger, a.a.O., Art. 26 N 65 mit Hinweisen; zum Ganzen: Urteil des BVGer B-2579/2016 vom 1. Juni 2018 E. 4.1).</w:t>
      </w:r>
    </w:p>
    <w:p>
      <w:r>
        <w:rPr>
          <w:b/>
        </w:rPr>
        <w:t>E. 4.2</w:t>
      </w:r>
    </w:p>
    <w:p>
      <w:r>
        <w:t>Zunächst machte der Beschwerdeführer nach eigenen Angaben von der Möglichkeit der Einsichtnahme in die Prüfungsunterlagen bei der Erstinstanz in Zürich bewusst keinen Gebrauch. Er entschied sich hierzu, obwohl der Chefexperte offenbar anlässlich der Schlussansprache im Anschluss der Prüfung auf diese Möglichkeit hingewiesen hatte (vgl. Schreiben der Erstinstanz vom 26. Oktober 2017 an die Vorinstanz, S. 2). Der Beschwerdeführer begründete seinen Verzicht mit der angeblichen Bestätigung der Erstinstanz, wonach ihm kein Einblick in die Bewertungsunterlagen der Experten, das heisse deren Notizen, Protokolle, Bewertungsmasstäbe etc., gewährt würde (Replik vom 23. November 2017 im vorinstanzlichen Verfahren, S. 1). Der Beschwerdeführer hatte dabei unstrittig Kenntnis von den Merkblättern "Beschwerden gegen die Nichtzulassung zur Prüfung und Nichterteilung des eidg. Fachausweises bzw. Diploms. Informationen zum Beschwerdeverfahren" sowie "Akteneinsichtsrecht" des SBFI (vgl. Beschwerde, S. 6 f., und Vernehmlassung, S. 1 f.; beide Blätter finden sich unter &lt;www.sbfi.admin.ch&gt;). Im ersten Merkblatt (Ziff. 1) wird empfohlen, vor der Einreichung einer Beschwerde die Prüfungsakten bei der Prüfungskommission einzusehen. Im zweiten Merkblatt (Ziff. 4) wird den Prüfungskandidaten das Akteneinsichtsrecht gemäss VwVG dargelegt. Im Übrigen wird im letzteren Merkblatt (unter Ziff. 3 Abs. 2) ausdrücklich festgehalten, dass das Einsichtsrecht nicht dadurch eingeschränkt werden dürfe, dass der Kandidat nur während einer bestimmten Zeitspanne nach Eröffnung der Verfügung (beispielsweise während 20 Tagen) Einsicht gewährt werde.</w:t>
      </w:r>
    </w:p>
    <w:p>
      <w:r>
        <w:rPr>
          <w:b/>
        </w:rPr>
        <w:t>E. 4.3</w:t>
      </w:r>
    </w:p>
    <w:p>
      <w:r>
        <w:t>Der Beschwerdeführer bat die Erstinstanz erst aufgrund der Stellungnahme der Experten zu seiner Replik schriftlich um einen Termin zur Einsichtnahme in die von ihm erstellten Dokumente. Diese Einsicht wurde ihm am 8. Februar 2018 gewährt (Triplik im vorinstanzlichen Verfahren, S. 1; Beschwerde, S. 6 f., und Vernehmlassung, S. 1 f.). Zudem liess die Vorinstanz der Rechtsvertreterin des Beschwerdeführers am 29. August 2018 die Verfahrensakten zur Einsicht zukommen, nachdem die Vertreterin am 24. August 2018 um Einsicht in seine Akten gebeten hatte. Bei den Bewertungsunterlagen der Experten, die der Beschwerdeführer in seiner Replik im vorinstanzlichen Verfahren aufzählte (oben E. 4.2), in welche er jedoch weiterhin keine Einsicht erhielt, handelt es sich um verwaltungsinterne Akten. Diese sind vom Einsichtsrecht nicht erfasst (vgl. E. 4.1 vorstehend). Dasselbe gilt für die "Handnotizen", auf welche sich die Bewertungsgrundlagen im mündlich geprüften Fach "Projektierung" stützen.</w:t>
      </w:r>
    </w:p>
    <w:p>
      <w:r>
        <w:rPr>
          <w:b/>
        </w:rPr>
        <w:t>E. 4.4</w:t>
      </w:r>
    </w:p>
    <w:p>
      <w:r>
        <w:t>Das Akteneinsichtsrecht des Beschwerdeführers ist folglich gewahrt.</w:t>
      </w:r>
    </w:p>
    <w:p>
      <w:r>
        <w:rPr>
          <w:b/>
        </w:rPr>
        <w:t>E. 5.1</w:t>
      </w:r>
    </w:p>
    <w:p>
      <w:r>
        <w:t>Aus dem verfassungsrechtlichen Gehörsgrundsatz (vgl. Art. 29 Abs. 2 BV; hierzu in E. 4.1 vorstehend) sowie der Untersuchungsmaxime (vgl. Art. 12 VwVG) folgt, dass die Behörde Vorbringen zum Sachverhalt jederzeit entgegennehmen und berücksichtigen muss, die sie für rechtserheblich hält (vgl. BVGE 2012/21 E. 5.1 mit Hinweis; Patrick Sutter, in: Auer/Müller/Schindler [Hrsg.], VwVG Kommentar, 2. Aufl. 2019, Art. 32 VwVG N 10; Kölz/Häner/Bertschi, Verwaltungsverfahren und Verwaltungsrechtspflege des Bundes, 3. Aufl. 2013, Rz. 547, 589 und 1125; Peter Saladin, Das Verwaltungsverfahrensrecht des Bundes, 1979, Rz. 16.232). Deswegen können neue Tatsachenbehauptungen, neue Beweismittel und neue rechtliche Begründungen letztlich unabhängig vom Zeitpunkt, in dem sie sich verwirklicht haben, jederzeit vorgebracht werden (Krauskopf/Emmenegger/Babey, Praxiskommentar VwVG, Art. 12 Rz. 58; vgl. Sutter, a.a.O., Art. 32 VwVG N 10). So muss die Behörde zum einen die rechtzeitigen Vorbringen der Parteien würdigen. Zum anderen ist sie auch verpflichtet, verspätete Vorbringen, die für die Erstellung des Sachverhalts ausschlaggebend erscheinen, zu berücksichtigen (vgl. Art. 32 VwVG; BGE 136 II 165 E. 4.2 mit Hinweisen; Urteil des BGer 1C_286/2009 vom 13. Januar 2010 E. 4.2-3; BVGE 2009/64 E. 7.3; Urteile des BVGer B-1394/2016 vom 12. Dezember 2018 E. 2.2.2 und A-6820/2009 vom 23. März 2010 E. 6, je mit Hinweis; Waldmann/Bickel, in: Praxiskommentar VwVG, Art. 32 N 16; Sutter, a.a.O., Art. 32 VwVG N 6, 8 und 10 mit Hinweisen; Kölz/Häner/Bertschi, a.a.O., Rz. 462, 589, 1017, 1045 und 1125; Saladin, a.a.O., Rz. 16.232; Moser/Beusch/Kneubühler, Prozessieren vor dem Bundesverwaltungsgericht, 2. Aufl. 2013, Rz. 2.147 und 2.206; a.M. Kiener/Rütsche/Kuhn, Öffentliches Verfahrensrecht, 2. Aufl. 2015, Rz. 310 und 667). Denn der Entscheidung ist derjenige Sachverhalt zugrunde zu legen, wie er sich im Zeitpunkt der Entscheidung bewiesenermassen darstellt (BGE 100 Ib 351 E. 3; Sutter, a.a.O., Art. 32 VwVG N 10). Verspätet sind Parteivorbringen, wenn eine Partei im Rahmen des Schriftenwechsels oder bei der Sachverhaltsermittlung eine Frist verpasst, aber ihre Eingaben danach noch ergänzt (vgl. Kiener/Rütsche/Kuhn, a.a.O., Rz. 667; Kölz/Häner/Bertschi, a.a.O., Rz. 589). Als verspätet gelten dabei auch ohne vorherige Aufforderung eingereichte Vorbringen (Urteil des BVGer C-2532/2013 vom 5. November 2014 E. 3.3.5). Nur so kann die Behörde ihren Pflichten zur richtigen und vollständigen Abklärung des Sachverhalts (Untersuchungsgrundsatz) und der richtigen Anwendung des objektiven Rechts (iura novit curia) genügend nachkommen (vgl. zum Ganzen: Urteil des BVGer A-6090/2017 vom 28. Juni 2018 E. 3.4.3 mit Hinweisen). Im Beschwerdeverfahren vor der Vorinstanz und dem Bundesverwaltungsgericht gilt diese Pflicht zur Berücksichtigung verspäteter Vorbringen - einschliesslich Noven - nur, soweit sich diese innerhalb des Streitgegenstands befinden (vgl. BVGE 2012/21 E. 5.1; Urteil des BVGer A-5477/2013 vom 24. März 2014 E. 1.4.1 mit Hinweis; Krauskopf/Emmenegger/Babey, a.a.O., Art. 12 Rz. 58).</w:t>
      </w:r>
    </w:p>
    <w:p>
      <w:r>
        <w:rPr>
          <w:b/>
        </w:rPr>
        <w:t>E. 5.2</w:t>
      </w:r>
    </w:p>
    <w:p>
      <w:r>
        <w:t>Grenze dieser Berücksichtigungspflicht ist trölerisches Parteiverhalten (vgl. Art. 5 Abs. 3 BV; Krauskopf/Emmenegger/Babey, a.a.O., Art. 12 Rz. 58). So können ausnahmsweise - dies wird (zum Teil) in Lehre und Rechtsprechung vertreten - auch rechtserhebliche verspätete Vorbringen ausser Acht gelassen werden, wenn die Verspätung auf nachlässiger Prozessführung beruht oder die entsprechenden Vorbringen der Verschleppung des Prozesses dienen (BGE 136 II 165 E. 4.3; Urteil des BVGer A-6090/2017 vom 28. Juni 2018 E. 3.4.3; Entscheid der REKO/EVD 95/4K-037 vom 5. Dezember 1996, publiziert in: Verwaltungspraxis der Bundesbehörden [VPB] 61.31 E. 3.2.3 f.; Waldmann/Bickel, Praxiskommentar VwVG, Art. 32 N 17, je mit Hinweisen; Sutter, a.a.O., Art. 32 VwVG N 11 mit Hinweisen; Kölz/Häner/Bertschi, a.a.O., Rz. 147 und 1125).</w:t>
      </w:r>
    </w:p>
    <w:p>
      <w:r>
        <w:rPr>
          <w:b/>
        </w:rPr>
        <w:t>E. 5.3</w:t>
      </w:r>
    </w:p>
    <w:p>
      <w:r>
        <w:t>Der Anspruch auf rechtliches Gehör ist formeller Natur, was bedeutet, dass seine Verletzung grundsätzlich - ungeachtet der Erfolgsaussichten in der Sache selbst - zur Aufhebung des angefochtenen Entscheids führt (statt vieler: BGE 144 I 11 E. 5.3, 137 I 195 E. 2.2; BVGE 2008/47 E. 3.3.4; Urteil des BVGer B-3284/2018 vom 16. November 2018 E. 7.5; Häfelin/Müller/Uhlmann, a.a.O., Rz. 1173 ff.). Die Heilung von Gehörsverletzungen auf Beschwerdeebene ist nur möglich, sofern das Versäumte nachgeholt wird, die beschwerdeführende Person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(obgenanntes Urteil B-3284/2018 E. 7.5; vgl. BVGE 2012/21 E. 5.1 und 2008/47 E. 3.3.4, je mit weiteren Hinweisen).</w:t>
      </w:r>
    </w:p>
    <w:p>
      <w:r>
        <w:rPr>
          <w:b/>
        </w:rPr>
        <w:t>E. 6</w:t>
      </w:r>
    </w:p>
    <w:p>
      <w:r>
        <w:t>Nachfolgend stellt sich in formeller Hinsicht des Weiteren die Frage, ob die Vorinstanz die Beweismittel beziehungsweise Tatsachen, die der Beschwerdeführer in seiner Triplik vom 12. Februar 2018 im vorinstanzlichen Verfahren vorbrachte, zu Recht unbeachtet liess oder hier das rechtliche Gehör des Beschwerdeführers durch Nichtberücksichtigung dessen Vorbringen im vorinstanzlichen Verfahren verletzte.</w:t>
      </w:r>
    </w:p>
    <w:p>
      <w:r>
        <w:rPr>
          <w:b/>
        </w:rPr>
        <w:t>E. 6.1</w:t>
      </w:r>
    </w:p>
    <w:p>
      <w:r>
        <w:t>Der Beschwerdeführer brachte die fraglichen Vorbringen in der Triplik vom 12. Februar 2018 im vorinstanzlichen Verfahren unbestrittenermassen innert der von der Vorinstanz angesetzten Frist ein. Damit erfolgte die Rüge des Beschwerdeführers über 29 Kriterien in der schriftlichen Prüfung "Projektierung" im Sinn von Lehre und Rechtsprechung rechtzeitig und nicht verspätet (vgl. E. 5.1 vorstehend). Dies gilt auch für die im Rahmen der Triplik neu eingereichten Dokumente. Dass diese Vorbringen und Dokumente nicht entscheidrelevant seien, moniert die Vorinstanz vorliegend nicht. Da namentlich neue Beweismittel sowie neue rechtliche Begründungen - insbesondere innerhalb der im Schriftenwechsel angesetzten Fristen - grundsätzlich jederzeit vorgebracht werden können, wäre die Vorinstanz aufgrund des Gehörs- und Untersuchungsgrundsatzes verpflichtet gewesen, diese Vorbringen und Dokumente bei der Entscheidfindung zu berücksichtigen (vgl. E. 5.1 hiervor). Im Übrigen könnte dem Beschwerdeführer, selbst wenn die Vorbringen verspätet gewesen und die Dokumenteneinreichung zu spät erfolgt wären, nicht vorgeworfen werden, den Prozess auf nachlässige Weise geführt zu haben, zumal er juristischer Laie und erst seit dem 23. August 2018 anwaltlich vertreten ist. Es ist nicht ersichtlich und wird von der Vorinstanz auch nicht dargelegt, welches Interesse der Beschwerdeführer an einer Verzögerung des Beschwerdeverfahrens haben sollte. Wie die Vorinstanz richtig ausführt, ist es notorisch, dass korrigierte Prüfungsunterlagen die Korrektur der Antworten des Kandidaten und damit die Bewertung der konkreten Prüfungsleistung enthalten. Auch hätte der Beschwerdeführer wohl bereits vor der Beschwerdeeinreichung auf Nachfrage hin Einsicht in seine Prüfungsunterlagen erhalten (vgl. E. 4.2 hiervor). Wesentlich ist in diesem Zusammenhang jedoch, dass das Akteneinsichtsrecht während eines laufenden Beschwerdeverfahrens zeitlich nicht beschränkt ist, sondern jederzeit geltend gemacht werden kann. Dies gilt insbesondere mit Bezug auf neue Tatsachenbehauptungen und Begründungselemente im Rahmen des Schriftenwechsels, hat doch nach eigenen Aussagen des Beschwerdeführers einzig die aus seiner Sicht unbefriedigende Stellungnahme der beiden Prüfungsexperten im Rahmen der Duplik (Beschwerde, S. 7) Anlass zum gestellten Einsichtsgesuch gegeben. Nach dem Gesagten hat die Vorinstanz die in der Triplik vom 12. Februar 2018 vorgebrachten Rügen des Beschwerdeführers samt den zugehörigen Beilagen zu Unrecht unberücksichtigt gelassen. Damit liegt eine Verletzung des rechtlichen Gehörs vor, was grundsätzlich zur Aufhebung des angefochtenen Entscheids führt (oben E. 5.3).</w:t>
      </w:r>
    </w:p>
    <w:p>
      <w:r>
        <w:rPr>
          <w:b/>
        </w:rPr>
        <w:t>E. 6.2</w:t>
      </w:r>
    </w:p>
    <w:p>
      <w:r>
        <w:t>Die in E. 5.3 hiervor genannten Voraussetzungen für die Heilung des formellen Mangels sind in der vorliegenden Konstellation nicht erfüllt, da das Bundesverwaltungsgericht das Versäumte nicht nachholen kann. Insbesondere besteht angesichts der fehlenden Würdigung der Vorinstanz keine überprüfbare Entscheidungsgrundlage zur Frage, ob die Beweismittel beziehungsweise Tatsachen, die der Beschwerdeführer in seiner Triplik vom 12. Februar 2018 im vorinstanzlichen Verfahren vorbrachte, eine Änderung der Prüfungsbewertung zur Folge haben. Belässt das Gericht der Vorinstanz aufgrund von deren besonderer Fachkenntnisse - wie hier (vgl. E. 3 oben) - einen erheblichen Beurteilungsspielraum, ist eine Heilung ausgeschlossen (Moser/Beusch/Kneubühler, a.a.O., Rz. 3.112 mit Hinweisen). Mit Blick auf die gerichtliche Zurückhaltung bei der Beurteilung der Prüfungsleistungen und der Bewertungen der fachkundigen Experten (E. 3 hiervor) ist es nicht Sache des Bundesverwaltungsgerichts, erstmals über die Leistungen des Beschwerdeführers in den streitigen Aufgaben zu befinden und die fehlende Entscheidreife herzustellen. Würde das Gericht wie eine erstinstanzliche Behörde entscheiden, verlöre der Beschwerdeführer dadurch zudem eine Instanz (vgl. zum Ganzen: Urteil des BVGer B-3284/2018 vom 16. November 2018 E. 7.5). Eine Rückweisung kommt vor diesem Hintergrund auch keinem formalistischen Leerlauf gleich.</w:t>
      </w:r>
    </w:p>
    <w:p>
      <w:r>
        <w:rPr>
          <w:b/>
        </w:rPr>
        <w:t>E. 6.3</w:t>
      </w:r>
    </w:p>
    <w:p>
      <w:r>
        <w:t>Zusammenfassend ist festzustellen, dass der Anspruch auf rechtliches Gehör durch ungenügende Begründung verletzt ist, was ohne Weiteres eine Kassation der angefochtenen Verfügung zur Folge hat (vgl. oben E. 5.3 und E. 6.1 in fine). Die Beschwerde ist demnach gutzuheissen. Der angefochtene Entscheid ist aufzuheben und die Angelegenheit zur Neubeurteilung an die Vorinstanz zurückzuweisen. Sie hat sich mit den Rügen, die der Beschwerdeführer in seiner Triplik vom 12. Februar 2018 im vorinstanzlichen Verfahren vorbrachte, materiell auseinanderzusetzen, der Erstinstanz diesbezüglich Gelegenheit zur Stellungnahme zu geben, hierauf erneut über die Beschwerde vom 18. August 2017 samt den nachgelagerten Schriftenwechseln zu entscheiden und den Entscheid hinreichend zu begründen.</w:t>
      </w:r>
    </w:p>
    <w:p>
      <w:r>
        <w:rPr>
          <w:b/>
        </w:rPr>
        <w:t>E. 7.1</w:t>
      </w:r>
    </w:p>
    <w:p>
      <w:r>
        <w:t>Der Beschwerdeführer gilt entsprechend dem Verfahrensausgang als obsiegende Partei, weshalb ihm keine Kosten aufzuerlegen sind (Art. 63 Abs. 1 VwVG). Der geleistete Kostenvorschuss in der Höhe von Fr. 1'500.- ist dem Beschwerdeführer zurückzuerstatten. Vorinstanzen haben keine Verfahrenskosten zu tragen (Art. 63 Abs. 2 VwVG).</w:t>
      </w:r>
    </w:p>
    <w:p>
      <w:r>
        <w:rPr>
          <w:b/>
        </w:rPr>
        <w:t>E. 7.2</w:t>
      </w:r>
    </w:p>
    <w:p>
      <w:r>
        <w:t>Dem obsiegenden Beschwerdeführer ist eine Parteientschädigung zuzusprechen, welche der Vorinstanz aufzuerlegen ist (vgl. Art. 64 VwVG, Art. 7 ff. VGKE). Die Parteientschädigung umfasst die Kosten der Vertretung sowie allfällige weitere Auslagen der Partei (Art. 8 Abs. 1 VGKE). Die Partei, die Anspruch auf Parteientschädigung erhebt, hat der Beschwerdeinstanz vor dem Beschwerdeentscheid eine detaillierte Kostennote einzureichen; andernfalls setzt die Beschwerdeinstanz die Parteientschädigung von Amtes wegen und nach Ermessen aufgrund der Akten fest (vgl. Art. 8 Abs. 1 der Verordnung vom 10. September 1969 über Kosten und Entschädigungen im Verwaltungsverfahren [SR 172.041.0]). Vorliegend hat die Rechtsvertreterin des Beschwerdeführers keine Kostennote eingereicht, weshalb die Parteientschädigung nach Ermessen aufgrund der Akten auf Fr. 2'300.- festzusetzen ist.</w:t>
      </w:r>
    </w:p>
    <w:p>
      <w:r>
        <w:rPr>
          <w:b/>
        </w:rPr>
        <w:t>E. 7.3</w:t>
      </w:r>
    </w:p>
    <w:p>
      <w:r>
        <w:t>Die Vorinstanz wird in ihrem neuen Entscheid in der Sache auch über die Kosten- und Entschädigungsfolgen des vorangegangenen Verfahrens zu befinden haben.</w:t>
      </w:r>
    </w:p>
    <w:p>
      <w:r>
        <w:rPr>
          <w:b/>
        </w:rPr>
        <w:t>E. 8</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