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B-5269/2014 vom 16. März 2016</w:t>
      </w:r>
    </w:p>
    <w:p>
      <w:r>
        <w:t>Bundesverwaltungsgericht, 2016-03-16, DE</w:t>
      </w:r>
    </w:p>
    <w:p>
      <w:r>
        <w:rPr>
          <w:b/>
        </w:rPr>
        <w:t xml:space="preserve">Quelle: </w:t>
      </w:r>
      <w:r>
        <w:t>https://mcp.opencaselaw.ch/entscheid/bvger_B-5269_2014</w:t>
      </w:r>
    </w:p>
    <w:p>
      <w:r>
        <w:t>FR: TAF B-5269/2014 du 16 mars 2016</w:t>
      </w:r>
    </w:p>
    <w:p>
      <w:r>
        <w:t>IT: TAF B-5269/2014 del 16 marzo 2016</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Die Beschwerdeführerin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Auf die Beschwerde ist daher einzutreten.</w:t>
      </w:r>
    </w:p>
    <w:p>
      <w:r>
        <w:rPr>
          <w:b/>
        </w:rPr>
        <w:t>E. 2</w:t>
      </w:r>
    </w:p>
    <w:p>
      <w:r>
        <w:t>Das Verfahren für die Gewährung von Finanzhilfen im Bereich der Kinder- und Jugendförderung an Einzelorganisationen richtet sich gemäss Art. 15 Abs. 1 KJFG nach dem Subventionsgesetz. Gemäss Art. 35 Abs. 1 des Subventionsgesetzes vom 5. Oktober 1990 (SuG, SR 616.1)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2.1</w:t>
      </w:r>
    </w:p>
    <w:p>
      <w:r>
        <w:t>Die Ausrichtung von Finanzhilfen an private Trägerschaften zur Förderung ihrer ausserschulischen Arbeit mit Kindern und Jugendlichen ist in den Art. 6-10 KJFG geregelt. Der Bundesrat hat diese Bestimmungen in der Kinder- und Jugendförderungsverordnung vom 17. Oktober 2012 (KJFV, SR 446.11) konkretisiert. Aus Art. 6 sowie Art. 12 Abs. 1 KJFG ergibt sich, dass die Finanzhilfen nach dem KJFG an private Trägerschaften als Ermessenssubventionen einzustufen sind, womit es im Entschliessungsermessen der verfügenden Behörde liegt, ob sie im Einzelfall eine Subvention zusprechen will oder nicht. 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(vgl. Urteil des BVGer B-5547/2014 vom 17. Juni 2015 E. 2.1 ff. m.w.H.).</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Der Bund kann Einzelorganisationen gestützt auf Art. 7 Abs. 2 KJFG Finanzhilfen für die Betriebsstruktur und für regelmässige Aktivitäten unter folgenden Voraussetzungen gewähren: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w:t>
      </w:r>
    </w:p>
    <w:p>
      <w:r>
        <w:rPr>
          <w:b/>
        </w:rPr>
        <w:t>E. 3.3</w:t>
      </w:r>
    </w:p>
    <w:p>
      <w:r>
        <w:t>Finanzhilfen an Einzelorganisationen gemäss Art. 7 Abs. 2 KJFG werden nur auf Gesuch hin ausgerichtet, wobei der Gesuchsteller der zuständigen Behörde alle erforderlichen Auskünfte erteilen muss (Art. 11 Abs. 1 und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KJFG können Finanzhilfen namentlich dann zurückgefordert oder verweigert werden, wenn sie nicht für Tätigkeiten im Rahmen der ausserschulischen Tätigkeit mit Kindern und Jugendlichen verwendet werden, oder wenn die im Rahmen von Leistungsverträgen vereinbarten Ziele nicht erreicht werden.</w:t>
      </w:r>
    </w:p>
    <w:p>
      <w:r>
        <w:rPr>
          <w:b/>
        </w:rPr>
        <w:t>E. 3.4</w:t>
      </w:r>
    </w:p>
    <w:p>
      <w:r>
        <w:t>Das KJFG und die dazugehörende Verordnung KJFV sind seit dem 1. Januar 2013 in Kraft. Sie lösten das bis dahin geltende Jugendförderungsgesetz vom 6. Oktober 1989 (JFG, AS 1990 2007 ff.) und die Jugendförderungsverordnung vom 10. Dezember 1990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des Bundesrates zum Bundesgesetz über die Förderung der ausserschulischen Arbeit mit Kindern und Jugendlichen vom 17. September 2010, BBl 2010 6803 ff. und 6822 [nachfolgend: Botschaft zum KJFG]).</w:t>
      </w:r>
    </w:p>
    <w:p>
      <w:r>
        <w:rPr>
          <w:b/>
        </w:rPr>
        <w:t>E. 4</w:t>
      </w:r>
    </w:p>
    <w:p>
      <w:r>
        <w:t>Die Beschwerdeführerin rügt sinngemäss eine Verletzung von Art. 7 KJFG und einen Ermessensmissbrauch durch die Vorinstanz.</w:t>
      </w:r>
    </w:p>
    <w:p>
      <w:r>
        <w:rPr>
          <w:b/>
        </w:rPr>
        <w:t>E. 4.1</w:t>
      </w:r>
    </w:p>
    <w:p>
      <w:r>
        <w:t>Die Beschwerdeführerin widerspricht der Auffassung des BSV, wonach ihre Glaubenspraxis, die religiöse Unterweisung und die Verbreitung der Glaubensgrundlagen nicht mit dem Zweck des KJFG übereinstimmen würden. Zwei der drei in der Botschaft zum KJFG beispielhaft erwähnten Verbände hätten religiöse übergeordnete Ziele. So sei die Jugendarbeit von Jungwacht Blauring, wie bei ihr, Teil einer Kirche. Die Botschaft erwähne als Zielsetzung in Bezug auf die Förderung von Massnahmen der ausserschulischen Jugenderziehung und -arbeit unter anderem explizit die Förderung von religiösen und ethischen Kompetenzen von Kindern und Jugendlichen. Zudem erfülle die Beschwerdeführerin die Anforderungen betreffend Betätigungs-, Bildungs- und Freizeiträume für Kinder und Jugendliche.</w:t>
      </w:r>
    </w:p>
    <w:p>
      <w:r>
        <w:rPr>
          <w:b/>
        </w:rPr>
        <w:t>E. 4.2</w:t>
      </w:r>
    </w:p>
    <w:p>
      <w:r>
        <w:t>Die Vorinstanz macht in ihrer Vernehmlassung und Duplik vor allem geltend, sie sei gemäss Art. 24 KJFG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 Aus den eingereichten Unterlagen sei die Ausführung des Missionsbefehls nach Matthäus 28, 19f. die Grundlage der Vereinstätigkeit. In den Statuten liessen sich zudem keine Angaben finden, ob und wie Kinder und Jugendliche in ihrer Entwicklung gefördert werden sollten. Die Bibel sei als Glaubensgrundlage die alleinverbindliche Autorität für Glaubens- und Lebensführung. Die Beschwerdeführerin erfülle die Merkmale der evangelikalen Bewegung. Die Ziele der Beschwerdeführerin würden im Bereich Kinderarbeit in Kids-Treffs, Sonntagsschulen und Kinderstunden umgesetzt. Dabei solle die biblische Geschichte nähergebracht, die Liebe Gottes gezeigt, das Vertrauen zu Gott vorgelebt und die Teamfähigkeit gefördert werden. Die Jugendarbeit sei dabei mehrheitlich an den Bund evangelischer Schweizer Jungscharen ausgelagert. Einzig der Konfirmandenunterricht und einzelne Jugendgruppen würden von der Beschwerdeführerin angeboten. Auch diesbezüglich fehle eine Darstellung, wie Jugendliche in ihrer Entwicklung gefördert würden. Allgemein stelle der aufgezeigte übergeordnete Organisationszweck der Beschwerdeführerin die zentrale, bestimmende und alleinige Handlungsmaxime dar und könne nicht in Einklang mit dem KJFG gebracht werden.</w:t>
      </w:r>
    </w:p>
    <w:p>
      <w:r>
        <w:rPr>
          <w:b/>
        </w:rPr>
        <w:t>E. 4.3</w:t>
      </w:r>
    </w:p>
    <w:p>
      <w:r>
        <w:t>Das Bundesverwaltungsgericht hat sich im Rahmen des Urteils B-5547/2014 vom 17. Juni 2015 bereits eingehend zur Gewährung von Finanzhilfen gestützt auf Art. 7 Abs. 2 KJFG geäussert. Danach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Ein solches Vorgehen verstösst nicht gegen den Grundsatz von Treu und Glauben.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(vgl. Urteil des BVGer B-5547/2014, a.a.O., E. 5.3).</w:t>
      </w:r>
    </w:p>
    <w:p>
      <w:r>
        <w:rPr>
          <w:b/>
        </w:rPr>
        <w:t>E. 4.4</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Nach der Botschaft zum KJFG umfasst der Begriff der ausserschulischen Arbeit nach Art. 5 KJFG das gesamte Angebotsspektrum der verbandlichen und offenen Arbeit mit Kindern und Jugendlichen, sowie Jugendinitiativen und projektorientierte Formen (Botschaft zum KJFG, a.a.O., S. 6841 f.; vgl. zum Begriff der offenen Kinder- und Jugendarbeit Urteil des BVGer B-5547/2014, a.a.O. E. 5.4.2).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a.a.O., S. 6804). Eine Organisation darf, um die Voraussetzungen für Finanzhilfen nach Art. 2 i.V.m. Art. 7 Abs. 2 KJFG zu erfüllen, ihre Tätigkeiten zwar auf religiösen Grundwerten aufbauen, nicht jedoch die Glaubensvermittlung und Bekehrung zum alleinigen oder vorwiegenden Ziel haben, da missionarisch motivierte Kinder- und Jugendarbeit dem Zweck des KJFG widerspricht (Urteil des BVGer B-5547/2014, a.a.O., E. 5.5).</w:t>
      </w:r>
    </w:p>
    <w:p>
      <w:r>
        <w:rPr>
          <w:b/>
        </w:rPr>
        <w:t>E. 4.5</w:t>
      </w:r>
    </w:p>
    <w:p>
      <w:r>
        <w:t>Bei der Beurteilung, wie die Tätigkeit der Beschwerdeführerin in diesem Spannungsfeld einzuordnen ist, ist von deren Statuten auszugehen.</w:t>
      </w:r>
    </w:p>
    <w:p>
      <w:r>
        <w:rPr>
          <w:b/>
        </w:rPr>
        <w:t>E. 4.5.1</w:t>
      </w:r>
    </w:p>
    <w:p>
      <w:r>
        <w:t>Darin wird festgehalten, dass die Beschwerdeführerin ihren Auftrag gemäss der Zweckbestimmung von Art. 3 ihrer Statuten in der Ausführung des Missionsbefehls nach Matthäus 28, 19 f. sieht: "Darum gehet hin und machet zu Jüngern alle Völker: Taufet sie auf den Namen des Vaters und des Sohnes und des Heiligen Geistes, und lehret sie halten alles, was ich euch befohlen habe. Und siehe, ich bin bei euch alle Tage bis an der Welt Ende". Die Beschwerdeführerin verfolgt karitative und gemeinnützige Zwecke und verbindet damit verschiedene Aufgaben, wie unter anderem die Verkündigung des Evangeliums von Jesus Christus im In- und Ausland, die Konstituierung und Betreuung von Ortsgemeinden, die Schulung von Mitarbeitern zur Verkündigung, Seelsorge und Gemeindeleitung sowie zur Ausübung der Kinder-, Jugend- und Seniorenarbeit. Gemäss Art. 4 der Statuten ist die Bibel für die Beschwerdeführerin die allein verbindliche Autorität für Glauben und die christliche Lebensführung. Im Weiteren bekennt die Beschwerdeführerin den Sündenfall und dessen zerstörende Wirkung auf die ganze Schöpfung, die den Menschen nicht erlaubt, sich selber zu erlösen. Zudem bekennen sich die Mitglieder der Beschwerdeführerin zum Endgericht, das für alle, die nicht an ihn glauben, zu einer Existenz in ewiger Verdammnis führe. Daraus folgert die Vorinstanz zurecht, dass die Beschwerdeführerin die Merkmale der evangelikalen Bewegung erfüllt. Wie die Vorinstanz zutreffend darlegt, sind evangelistisch ausgerichtete Organisationen auf die Evangelisierung oder Mission fokussiert. Dies ergibt sich wie gesehen ohne weiteres aus der Zweckbestimmung der Statuten.</w:t>
      </w:r>
    </w:p>
    <w:p>
      <w:r>
        <w:rPr>
          <w:b/>
        </w:rPr>
        <w:t>E. 4.5.2</w:t>
      </w:r>
    </w:p>
    <w:p>
      <w:r>
        <w:t>Fraglich bleibt somit nur, wie viel Raum die eigentliche, vom KJFG geregelte Kinder- und Jugendarbeit bei der Beschwerdeführerin überhaupt einnimmt. Gemäss Leitbild der Beschwerdeführerin (Vernehmlassungsbeilage 7) bietet sie hinsichtlich ihrer Kinder- und Jugendarbeit folgendes an: a) Kids-Treffs, Sonntagsschule und Kinderstunde b) Jungschar c) Jugendlehre d) Jugendgruppe In Bezug auf die Jungschararbeit wird die Beschwerdeführerin durch den Bund evangelikaler Schweizer Jungscharen (BESJ) unterstützt. Die dem Gericht vorliegenden Unterlagen vermitteln den Eindruck, dass die Beschwerdeführerin Kinder- und Jugendarbeit mit den von ihr verfolgten religiösen Zwecken - missionarische Tätigkeit, Vertiefung des Glaubens und Seelsorge - gleichsetzt. So ist beispielsweise einer der Grundwerte der Kids-Treffs die "Alltagsrelevanz". Hier wird unter anderem die Frage aufgeworfen, wie die Bibel wahr und alltagsbezogen in das Leben der Kinder übertragen werden kann? Alltagsrelevant heisst: Kinder sehen, dass Gottes Wort für sie geschrieben wurde und Bezug hat zu ihrem Leben (http://www.kidstreff.ch/de/ueber-kids-treff/werte.html). Gewisse Zielsetzungen, welche die Beschwerdeführerin mit den Kids-Treffs, der Sonntagsschule und Kinderstunde, der Jungschar, der Jugendlehre und der Jugendgruppe verfolgt, könnten für sich alleine betrachtet durchaus mit denjenigen des KJFG übereinstimmen, würden sie denn nicht dem einzigen Vereinszweck untergeordnet bzw. wären sie nicht allein Mittel zum Erreichen des Vereinszwecks. Die Beschwerdeführerin hält denn in ihrer Replik vom 23. Januar 2015 selber fest, dass sie die Ziele ihrer Jugendarbeit in der Wertevermittlung nach biblischen Prinzipien und der Unterweisung der Kinder von biblischen Prinzipien sieht. In den mit der Stellungnahme vom 14. August 2015 von der Beschwerdeführerin eingereichten "Leitlinien für die Arbeit mit Kindern und Jugendlichen in den Freien Missionsgemeinden" wird zudem unter Ziff. 2.1.2 aufgeführt, dass in allen Aktivitäten im Zusammenhang mit der Kinder- und Jugendarbeit der Verkündigung der Botschaft der Bibel eine zentrale Rolle zuzumessen sei.</w:t>
      </w:r>
    </w:p>
    <w:p>
      <w:r>
        <w:rPr>
          <w:b/>
        </w:rPr>
        <w:t>E. 4.5.3</w:t>
      </w:r>
    </w:p>
    <w:p>
      <w:r>
        <w:t>Das bestärkt den Gesamteindruck, dass die Beschwerdeführerin eine Organisation ist, die ihre Tätigkeit ganz überwiegend in der Vermittlung des Wortes Gottes unterordnet. Sie verfolgt somit vor allem missionarische Zwecke, und die Kinder- und Jugendarbeit ist vor allem als Mittel zur Erreichung dieses Zwecks anzusehen. Die Beschwerdeführerin bietet keine darüber hinausgehende eigenständige ausserschulische Förderung der Entwicklung von Kindern und Jugendlichen an. Damit fehlt es schon am offenen und ganzheitlichen, auf die Bedürfnisse der Entwicklung junger Menschen ausgerichteten Ansatz, der die ausserschulische Tätigkeit im Sinne von Art. 5 KJFG auszeichnet. Ausserschulische Arbeiten nach dem KJFG sollen nach dem klaren gesetzgeberischen Willen in erster Linie den Interessen der Kinder und Jugendlichen dienen, wobei die Tätigkeit auch thematisch ausgerichtet und etwa dem Naturschutz oder der politischen Partizipation dienen kann. Bei der Beschwerdeführerin vermisst man diese Auseinandersetzung mit den Zielen der Kinder- und Jugendförderung. Ihr Fokus ist, was direkt auch aus dem einzigen Vereinszweck ersichtlich wird, vor allem das Missionarische. Entsprechend kann sie keine Finanzhilfe für etwas beanspruchen, dessen Ziele sie nicht bzw. nicht in einer dem KJFG genügenden qualitativen Weise verfolgt.</w:t>
      </w:r>
    </w:p>
    <w:p>
      <w:r>
        <w:rPr>
          <w:b/>
        </w:rPr>
        <w:t>E. 4.6</w:t>
      </w:r>
    </w:p>
    <w:p>
      <w:r>
        <w:t>Die Vorinstanz hat zutreffend erkannt, dass sich die Kinder- und Jugendarbeit einer antragsstellenden Organisation am Zweck des KJFG orientieren muss und ein von religiösen Grundwerten geprägter Organisationszweck dies nicht generell verhindert. Eine Organisation darf, um die Voraussetzungen für Finanzhilfen nach Art. 7 Abs. 2 KJFG zu erfüllen, ihre Tätigkeit zwar auf religiösen Grundwerten aufbauen, nicht jedoch die Glaubensvermittlung und Bekehrung zum alleinigen oder vorwiegenden Ziel haben, da missionarisch motivierte Kinder- und Jugendarbeit dem Zweck des KJFG widerspricht. In der Folge hat die Vorinstanz im Rahmen der Evaluation gemäss Art. 24 KJFG in Bezug auf die Beschwerdeführerin zu Recht festgestellt, dass deren allein - oder zumindest hauptsächlich - auf den Zweck der Glaubensvermittlung und Bekehrung ausgerichtete bzw. missionarische Kinder- und Jugendarbeit mit der Zielsetzung des KJFG und seiner Subventionsnormen unvereinbar ist. Die Rügen der Beschwerdeführerin, die Vorinstanz habe Art. 7 Abs. 2 KJFG unrichtig angewendet, sind unbegründet. Daran vermögen auch die Vorbringen der Beschwerdeführerin hinsichtlich der Anrechnung der Gruppenlagertage als Veranstaltungstage nichts zu ändern. Entsprechend kann die rechtliche Qualifikation dieser Tage offen bleiben.</w:t>
      </w:r>
    </w:p>
    <w:p>
      <w:r>
        <w:rPr>
          <w:b/>
        </w:rPr>
        <w:t>E. 4.7</w:t>
      </w:r>
    </w:p>
    <w:p>
      <w:r>
        <w:t>Die Vorinstanz hat im Rahmen der Evaluation gemäss Art. 24 KJFG in Bezug auf die Beschwerdeführerin zu Recht festgestellt, dass deren vorrangig auf den Zweck der Glaubensvermittlung und Bekehrung ausgerichtete Kinder- und Jugendarbeit mit der Zielsetzung des KJFG und seiner Subventionsnormen unvereinbar ist. Die sinngemässe Rüge der Beschwerdeführerin, die Vorinstanz habe in Bezug auf Art. 2 i.V.m. Art. 7 KJFG den Sachverhalt unrichtig bzw. gar willkürlich festgestellt, ist unbegründet.</w:t>
      </w:r>
    </w:p>
    <w:p>
      <w:r>
        <w:rPr>
          <w:b/>
        </w:rPr>
        <w:t>E. 5</w:t>
      </w:r>
    </w:p>
    <w:p>
      <w:r>
        <w:t>Ferner verletze die angefochtene Verfügung nach Ansicht der Beschwerdeführerin sinngemäss das Rechtsgleichheitsgebot gemäss Art. 8 BV. Sie habe festgestellt, dass bspw. "CEVI" und "Jungwacht/Blauring" und damit beides Organisationen, die in sehr ähnlicher Art und Weise arbeiten und genauso christliche Werte vertreten würden, nicht von einem negativen Entscheid der Vorinstanz betroffen seien. Dies stelle eine Ungleichbehandlung gegenüber gleichgelagerten Organisationen dar.</w:t>
      </w:r>
    </w:p>
    <w:p>
      <w:r>
        <w:rPr>
          <w:b/>
        </w:rPr>
        <w:t>E. 5.1</w:t>
      </w:r>
    </w:p>
    <w:p>
      <w:r>
        <w:t>Die Vorinstanz führt diesbezüglich aus, sie sei aufgrund einer Gesamtschau zum Schluss gekommen, dass nicht alle glaubensbasierten Organisationen die Unterweisung und Verbreitung von Glaubensgrundlagen ins Zentrum ihrer Aktivitäten stellten. Sie führten ihre Aktivitäten und Angebote aufgrund ihrer christlichen Grundhaltung durch, die Kinder- und Jugendarbeit erfülle allerdings die Bedürfnisse der Kinder und Jugendlichen und nicht diejenigen der Organisation. Bei den weiterhin subventionsberechtigten Organisationen würden Kinder und Jugendliche nicht einzig zur Erfüllung des übergeordneten Organisationszwecks instrumentalisiert. Die Arbeit der "Jungwacht Blauring Schweiz" und des "Cevi Schweiz" würden nicht auf eine fehlende Zweckorientierung im Sinne des KJFG hinweisen, was sich mit dem Befund der Vorinstanz decke, wonach diese (und ein halbes Dutzend weitere) glaubensbasierte Organisationen in ihrer Gesamtheit Kinder- und Jugendarbeit im Sinne des KJFG anbieten würden.</w:t>
      </w:r>
    </w:p>
    <w:p>
      <w:r>
        <w:rPr>
          <w:b/>
        </w:rPr>
        <w:t>E. 5.2</w:t>
      </w:r>
    </w:p>
    <w:p>
      <w:r>
        <w:t>Eine auf christlichen Grundwerten erbrachte ausserschulische Kinder- und Jugendarbeit kann durchaus zu Finanzhilfen nach Art. 7 Abs. 2 KJFG berechtigen, wie die von der Beschwerdeführerin genannten Beispiele zeigen. Massgebend ist dabei nicht die Tatsache, dass es sich bei den von ihr genannten Beispielen um christliche Organisationen handelt, sondern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vorrangig den eigenen missionarischen Zwecken dienen. Insoweit hat die ausserschulische Arbeit mit Kindern und Jugendlichen Ausdruck der christlichen Haltung zu sein und nicht Mittel zum Zweck missionarischer Tätigkeit (vgl. zum Ganzen Urteil des BVGer B-5547/2014, a.a.O., E. 6.2).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 Die Rüge der Beschwerdeführerin ist somit unbegründet.</w:t>
      </w:r>
    </w:p>
    <w:p>
      <w:r>
        <w:rPr>
          <w:b/>
        </w:rPr>
        <w:t>E. 6</w:t>
      </w:r>
    </w:p>
    <w:p>
      <w:r>
        <w:t>Zusammenfassend erweist sich die Beschwerde gegen die Abweisung des Gesuchs um Finanzhilfen nach Art. 7 Abs. 2 KJFG (Verfahren B-5483/2014) als unbegründet und ist daher abzuweisen.</w:t>
      </w:r>
    </w:p>
    <w:p>
      <w:r>
        <w:rPr>
          <w:b/>
        </w:rPr>
        <w:t>E. 7.1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1'500.- festgelegt und dem einbezahlten Kostenvorschuss entnommen.</w:t>
      </w:r>
    </w:p>
    <w:p>
      <w:r>
        <w:rPr>
          <w:b/>
        </w:rPr>
        <w:t>E. 7.2</w:t>
      </w:r>
    </w:p>
    <w:p>
      <w:r>
        <w:t>Der unterliegenden Beschwerdeführerin ist keine Parteientschädigung zuzusprechen (Art. 64 Abs. 1 VwVG, Art. 7 Abs. 1 VGKE).</w:t>
      </w:r>
    </w:p>
    <w:p>
      <w:r>
        <w:rPr>
          <w:b/>
        </w:rPr>
        <w:t>E. 8</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