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B-5269/2012 vom 24. Juli 2013</w:t>
      </w:r>
    </w:p>
    <w:p>
      <w:r>
        <w:t>Bundesverwaltungsgericht, 2013-07-24, FR</w:t>
      </w:r>
    </w:p>
    <w:p>
      <w:r>
        <w:rPr>
          <w:b/>
        </w:rPr>
        <w:t xml:space="preserve">Quelle: </w:t>
      </w:r>
      <w:r>
        <w:t>https://mcp.opencaselaw.ch/entscheid/bvger_B-5269_2012</w:t>
      </w:r>
    </w:p>
    <w:p>
      <w:r>
        <w:t>FR: TAF B-5269/2012 du 24 juillet 2013</w:t>
      </w:r>
    </w:p>
    <w:p>
      <w:r>
        <w:t>IT: TAF B-5269/2012 del 24 luglio 2013</w:t>
      </w:r>
    </w:p>
    <w:p>
      <w:pPr>
        <w:pStyle w:val="Heading2"/>
      </w:pPr>
      <w:r>
        <w:t>Regeste</w:t>
      </w:r>
    </w:p>
    <w:p>
      <w:r>
        <w:t>Maturité fédérale</w:t>
      </w:r>
    </w:p>
    <w:p>
      <w:pPr>
        <w:pStyle w:val="Heading2"/>
      </w:pPr>
      <w:r>
        <w:t>Erwägungen</w:t>
      </w:r>
    </w:p>
    <w:p>
      <w:r>
        <w:rPr>
          <w:b/>
        </w:rPr>
        <w:t>E. 1</w:t>
      </w:r>
    </w:p>
    <w:p>
      <w:r>
        <w:t>L'intégralité du dossier de la recourante en mains de l'autorité intimée est produite, notamment le nom de ou des experts, les critères de correction et le barème appliqué à l'épreuve d'arts visuels.</w:t>
      </w:r>
    </w:p>
    <w:p>
      <w:r>
        <w:rPr>
          <w:b/>
        </w:rPr>
        <w:t>E. 1.1</w:t>
      </w:r>
    </w:p>
    <w:p>
      <w:r>
        <w:t>Le Tribunal administratif fédéral est compétent pour statuer sur le présent recours (art. 31, 32 et 33 let. f de la loi du 17 juin 2005 sur le Tribunal administratif fédéral [LTAF, RS 173.32] et art. 5 al. 1 let. a de la loi fédérale du 20 décembre 1968 sur la procédure administrative [PA, RS 172.021]). S'agissant de la qualification juridique de l'acte portant sur les résultats du premier examen partiel, à savoir s'il s'agit d'une décision finale sujette à recours ou d'une décision incidente sujette à recours pour autant que les conditions posées à l'art. 46 al. 1 PA sont remplies, le Tribunal administratif fédéral a considéré dans un arrêt récent qu'il n'y avait en l'état pas lieu de réexaminer la pratique consistant à entrer en matière sur l'acte attaqué (voir l'arrêt du Tribunal administratif fédéral B-5097/2012 du 24 mai 2013 consid. 1.3). La qualité pour recourir doit être reconnue à la recourante (art. 48 al. 1 let. a à c PA). Les autres conditions de recevabilité sont par ailleurs respectées (art. 11, 50 al. 1, 52 al. 1 et 63 al. 4 PA).</w:t>
      </w:r>
    </w:p>
    <w:p>
      <w:r>
        <w:rPr>
          <w:b/>
        </w:rPr>
        <w:t>E. 1.2</w:t>
      </w:r>
    </w:p>
    <w:p>
      <w:r>
        <w:t>En procédure contentieuse, l'objet du litige est défini par trois éléments : l'objet du recours, les conclusions du recours et les motifs de celui-ci. En vertu du principe de l'unité de la procédure, l'autorité de recours ne peut statuer que sur des points que l'autorité inférieure a examinés. Ainsi, l'objet du litige ne saurait s'étendre à des éléments qui ne sont pas compris dans l'objet du recours. Il s'ensuit que l'autorité de recours n'examine et ne juge,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(arrêt du Tribunal fédéral 8C_820/2011 du 25 avril 2012 consid. 2.1 ; Ulrich Meyer/Isabel von Zwehl, L'objet du litige en procédure de droit administratif fédéral, in : Mélanges en l'honneur de Pierre Moor, Berne 2005, p. 439). En l'espèce, l'objet du recours est la décision de l'autorité inférieure du 7 septembre 2012, contenant les résultats de la recourante au premier examen partiel, dont sa note à l'épreuve d'arts visuels. A titre subsidiaire, la recourante conclut notamment à ce qu'elle soit admise à se présenter à nouveau à l'épreuve d'arts visuels avant de devoir se présenter au second examen partiel. Cette conclusion concerne l'admission de la recourante à une deuxième tentative du premier examen partiel, question qui n'a pas été tranchée dans la décision querellée. Elle sort dès lors du cadre défini par l'objet de la procédure, de sorte qu'elle est irrecevable. Il suit de ce qui précède que le recours est recevable dans la mesure où il ne porte pas sur la conclusion subsidiaire tendant à ce que la recourante soit admise à se présenter à nouveau à l'épreuve d'arts visuels avant de devoir se présenter au second examen partiel. 2. 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131 I 467 consid. 3.1, ATF 121 I 225 consid. 4b ; ATAF 2008/14 consid. 3.1 ; Herbert Plotke, Schweizerisches Schulrecht, 2e éd., Berne 2003, p. 722 ss).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(ATAF 2008/14 consid. 3.1). 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(arrêts du Tribunal administratif fédéral B-7354/2008 du 18 février 2010 consid. 4.2 et B-6261/2008 du 4 février 2010 consid. 4.1).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(arrêt du Tribunal administratif fédéral B-7354/2008 du 18 février 2010 consid. 4.3).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(arrêts du Tribunal administratif fédéral B 7354/2008 du 18 février 2010 consid. 4.3 et B 6261/2008 du 4 février 2010 consid. 4.1).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 arrêt du Tribunal administratif fédéral C 2042/2007 du 11 septembre 2007 consid. 3.1). La retenue dans le pouvoir d'examen n'est toutefois admissible qu'à l'égard de l'évaluation proprement dite des prestations (arrêt du Tribunal administratif fédéral B-1225/2010 du 6 juillet 2010 consid. 4.1).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déroulées (ATAF 2010/11 consid. 4.2, ATAF 2008/14 consid. 3.3, ATAF 2007/6 consid. 3 et réf. cit. ; arrêt du Tribunal administratif fédéral C-7679/2006 du 14 juin 2007 consid. 2 ; décision du Conseil fédéral du 27 mars 1991 publiée dans la Jurisprudence des autorités administratives de la Confédération [JAAC] 56.16 consid. 2.2 ; Plotke, op. cit., p. 725 ss). 3.</w:t>
      </w:r>
    </w:p>
    <w:p>
      <w:r>
        <w:rPr>
          <w:b/>
        </w:rPr>
        <w:t>E. 2</w:t>
      </w:r>
    </w:p>
    <w:p>
      <w:r>
        <w:t>La décision de la Commission suisse de maturité du 7 septembre 2012 constatant l'échec à l'épreuve d'arts visuels de Madame X._______, est annulée.</w:t>
      </w:r>
    </w:p>
    <w:p>
      <w:r>
        <w:rPr>
          <w:b/>
        </w:rPr>
        <w:t>E. 3</w:t>
      </w:r>
    </w:p>
    <w:p>
      <w:r>
        <w:t>La décision d'échec de l'épreuve d'arts visuels est réformée en ce sens que la note 4 est attribuée à l'épreuve d'arts visuels présentée par Madame X._______.</w:t>
      </w:r>
    </w:p>
    <w:p>
      <w:r>
        <w:rPr>
          <w:b/>
        </w:rPr>
        <w:t>E. 3.1</w:t>
      </w:r>
    </w:p>
    <w:p>
      <w:r>
        <w:t>L'ordonnance régit l'examen suisse de maturité qui confère le certificat de maturité gymnasiale s'il est réussi (art. 1 al. 1 de l'ordonnance). La Commission suisse de maturité est responsable du déroulement de l'examen suisse de maturité. Le Secrétariat d'Etat à la formation, à la recherche et à l'innovation SEFRI est responsable du secrétariat et de la direction administrative de l'examen (art. 2 de l'ordonnance). Selon l'art. 8 al. 1 de l'ordonnance, l'examen doit permettre de juger si le candidat possède la maturité nécessaire aux études supérieures. A teneur de l'art. 12 al. 1 de l'ordonnance, les examinateurs corrigent les épreuves écrites. Ils préparent, conduisent et évaluent les épreuves orales. L'examen comporte douze disciplines de maturité qui s'organisent en dix disciplines fondamentales, en une option spécifique et en une option complémentaire (art. 14 al. 1 let. a à c de l'ordonnance). L'examen peut, au choix du candidat, être présenté en une seule session (examen complet) ou réparti sur deux sessions (examens partiels). Dans ce dernier cas, le candidat commence en se présentant au premier examen partiel (art. 20 al. 1 et 2 de l'ordonnance). Selon l'art. 20 al. 3 let. a à f de l'ordonnance, le premier examen partiel porte sur les disciplines fondamentales suivantes : biologie, chimie, physique, histoire, géographie, arts visuels ou musique. Les prestations dans chacune des douze disciplines de maturité sont exprimées en notes entières et en demi-notes. La meilleure note est 6 ; la plus mauvaise est 1. Les notes en dessous de 4 sanctionnent des prestations insuffisantes (art. 21 al. 1 de l'ordonnance).</w:t>
      </w:r>
    </w:p>
    <w:p>
      <w:r>
        <w:rPr>
          <w:b/>
        </w:rPr>
        <w:t>E. 3.2</w:t>
      </w:r>
    </w:p>
    <w:p>
      <w:r>
        <w:t>Les objectifs et les programmes des diverses disciplines se fondent sur le Plan d'études cadre de la Conférence suisse des directeurs cantonaux de l'instruction publique (CDIP). Ils sont publiés dans les Directives (art. 9 de l'ordonnance). L'art. 10 al. 1 de l'ordonnance prévoit que la Commission édicte des directives pour la Suisse alémanique, la Suisse romande et la Suisse italienne. Les Directives comprennent notamment les objectifs et les programmes détaillés des disciplines (let. b) ainsi que les procédures et les critères d'évaluation (let. c). Les Directives sont soumises à l'approbation du Département fédéral de l'intérieur (art. 10 al. 2 de l'ordonnance). Se fondant sur l'art. 10 précité, la Commission a édicté les Directives, en vigueur depuis le 1er janvier 2012, valables pour tout nouveau candidat se présentant à l'examen dès la session d'hiver 2012, consultables sur le site Internet du SEFRI &lt;www.sbf.admin.ch&gt; &gt; Thèmes &gt; Education générale &gt; Maturité &gt; Examen suisse de maturité, consulté le 20 juin 2013. Ces Directives présentent les objectifs, les procédures d'examen, les critères d'évaluation et les programmes des diverses disciplines. 4. Le litige porte sur l'épreuve d'arts visuels de la recourante. Celle-ci consistait en un dessin d'observation et une composition en couleur, les résultats obtenus à chaque partie comptant ensuite dans la note finale de l'examen. La recourante ne conteste pas l'appréciation de son travail de composition en couleur. Elle conteste uniquement l'évaluation de l'exercice d'observation.</w:t>
      </w:r>
    </w:p>
    <w:p>
      <w:r>
        <w:rPr>
          <w:b/>
        </w:rPr>
        <w:t>E. 4</w:t>
      </w:r>
    </w:p>
    <w:p>
      <w:r>
        <w:t>Madame X._______ est admise à se présenter à nouveau à l'épreuve d'arts visuels avant de devoir se présenter au second examen partiel.</w:t>
      </w:r>
    </w:p>
    <w:p>
      <w:r>
        <w:rPr>
          <w:b/>
        </w:rPr>
        <w:t>E. 5</w:t>
      </w:r>
    </w:p>
    <w:p>
      <w:r>
        <w:t>La recourante s'est plainte dans son recours de l'absence de critères d'appréciation précis et de sous-critères de notation dans les Directives et dans la feuille d'évaluation de l'exercice d'observation. Dans sa réponse, l'autorité inférieure a expliqué que ces critères étaient énoncés au paragraphe 6.3.3 des Directives. Elle a en outre indiqué que lesdits critères avaient été traduits dans les consignes et dans la grille d'évaluation figurant sur l'énoncé. Dans sa réplique, la recourante a pris acte du fait que les critères appliqués à son dessin d'observation ressortaient des Directives et que des critères détaillés étaient définis pour chaque session et pour chaque épreuve, retirant ainsi implicitement son grief. Au vu de ce qui précède, point n'est donc besoin d'examiner cette question.</w:t>
      </w:r>
    </w:p>
    <w:p>
      <w:r>
        <w:rPr>
          <w:b/>
        </w:rPr>
        <w:t>E. 6</w:t>
      </w:r>
    </w:p>
    <w:p>
      <w:r>
        <w:t>La recourante conteste l'évaluation de son travail d'observation de l'examen d'arts visuels, au motif qu'elle serait entachée d'arbitraire. Se fondant sur le rapport de son professeur d'art, elle allègue que son dessin devait être considéré comme suffisant, dans la mesure où il respecte les consignes et qu'il ne paraît pas moins bien que ceux présentés par les candidats ayant obtenu la moyenne. La recourante soutient également que les motifs de notation invoqués par les examinateurs dans leur prise de position sont très succincts, voire fortement subjectifs. Ceci aurait pour conséquence qu'il est particulièrement ardu d'en dégager des critères détaillés.</w:t>
      </w:r>
    </w:p>
    <w:p>
      <w:r>
        <w:rPr>
          <w:b/>
        </w:rPr>
        <w:t>E. 6.1</w:t>
      </w:r>
    </w:p>
    <w:p>
      <w:r>
        <w:t>Selon la jurisprudence précitée, l'évaluation des résultats d'examens entre tout particulièrement dans la sphère des décisions pour lesquelles les examinateurs disposent d'un très large pouvoir d'appréciation et ne peut faire l'objet que d'un contrôle judiciaire limité (cf. consid. 2). Par ailleurs, il n'y aura pas d'arbitraire du seul fait qu'une autre solution que celle de l'autorité inférieure paraît concevable, voire préférable (ATF 133 I 149 consid. 3.1, ATF 132 III 209 consid. 2.1, ATF 132 I 13 consid. 5.1).</w:t>
      </w:r>
    </w:p>
    <w:p>
      <w:r>
        <w:rPr>
          <w:b/>
        </w:rPr>
        <w:t>E. 6.2</w:t>
      </w:r>
    </w:p>
    <w:p>
      <w:r>
        <w:t>D'après l'énoncé du travail d'observation, la recourante devait composer une nature morte avec un gobelet, une fourchette, un fruit et une feuille noire à utiliser comme support. Il lui était demandé de faire un cadrage serré sur les objets, puis de réaliser un dessin au trait, précis et fidèle, de l'ensemble de sa composition, en utilisant la technique noire et blanc au crayon. Il lui était également demandé de choisir un fragment compact d'environ 1/3 de la surface de son dessin linéaire pour traduire les couleurs, les ombres et les textures présentes à cet endroit en valeurs de gris. La partie choisie devait renforcer la composition générale, c'est-à-dire la rendre plus attrayante, plus lisible dans ses détails et plus dynamique. Selon la grille d'évaluation figurant sur la feuille d'énoncé, la recourante a obtenu les points suivants au travail d'observation : Présence des 4 éléments donnés au départ 2/2 NOTE Intérêt de la composition 2/4 Adéquation et originalité du cadrage 3/4 Précision de l'observation, justesse des formes, respect des proportions 5/12 Perspective, transcription de l'espace et des volumes, valeurs 2/6 Qualité graphique des lignes 2/5 Qualité graphique des valeurs et textures 2/5 Respect de la consigne valeurs 2/2 3,5 Total 20/40</w:t>
      </w:r>
    </w:p>
    <w:p>
      <w:r>
        <w:rPr>
          <w:b/>
        </w:rPr>
        <w:t>E. 6.2.1</w:t>
      </w:r>
    </w:p>
    <w:p>
      <w:r>
        <w:t>La recourante soutient que son dessin devait à tout le moins être considéré comme suffisant, dès lors qu'il respecte les consignes et que les différents éléments requis y figurent objectivement. Le Tribunal constate à cet égard que les examinateurs lui ont attribué deux points sur un total de deux aux critères de la grille d'évaluation se rapportant au respect des consignes et à la présence des quatre objets donnés au départ. Cependant, ces éléments ne comptaient que pour une partie de l'évaluation finale du dessin. Il est donc erroné de conclure que le dessin entier devait être considéré comme suffisant pour ce seul motif.</w:t>
      </w:r>
    </w:p>
    <w:p>
      <w:r>
        <w:rPr>
          <w:b/>
        </w:rPr>
        <w:t>E. 6.2.2</w:t>
      </w:r>
    </w:p>
    <w:p>
      <w:r>
        <w:t>Le professeur d'art de la recourante explique dans son rapport que, durant les cours donnés, celle-ci a toujours montré de l'intérêt pour son travail et a su progresser tout en étant consciente de ses difficultés. Il relève qu'elle a régulièrement produit des travaux de bien meilleure qualité avec un niveau de difficulté comparable aux Directives. Toutefois, l'appréciation de l'épreuve ne saurait porter que sur les prestations effectives de la candidate durant l'examen, non sur d'hypothétiques capacités (arrêt du Tribunal administratif fédéral B 1589/2009 du 25 juin 2009 consid. 5.2). Par ailleurs, la recourante ne saurait comparer son dessin à ceux des autres candidats, le Tribunal de céans n'étant pas à même de juger de la qualité ni de l'ensemble des épreuves de la recourante ni de celles d'autres candidats (cf. consid. 2 ci-dessus).</w:t>
      </w:r>
    </w:p>
    <w:p>
      <w:r>
        <w:rPr>
          <w:b/>
        </w:rPr>
        <w:t>E. 6.2.3</w:t>
      </w:r>
    </w:p>
    <w:p>
      <w:r>
        <w:t>La recourante relève que l'intérêt de sa composition lui semble acceptable et que la qualité graphique des lignes de son dessin est relativement vivante. Elle estime par ailleurs que les motifs de notation évoqués par les examinateurs sont trop succincts, voire fortement subjectifs. Et la prise de position des examinateurs serait un document qui n'a été réalisé que suite au recours qu'elle a déposé. Dans leur prise de position, les examinateurs exposent qu'ils ont attribué deux points sur quatre au critère "Intérêt de la composition", au motif que la composition manquait de dynamisme et d'originalité. S'agissant du critère "Adéquation et originalité du cadrage", les examinateurs soulignent que le cadre, tout en étant adéquat, reste conventionnel à cause de la vision frontale de l'ensemble des objets. Pour le critère "Qualité graphique des lignes", ils justifient leur évaluation en indiquant que les lignes de la composition de la recourante présentent plusieurs défauts, soulignant qu'elles sont parfois trop grasses et dénotent ainsi un manque dans la finesse de l'observation, qu'elles sont aussi parfois trop légères et que, dans l'ensemble, les lignes et les contours ne décrivent pas avec précision la matérialité des objets, en particulier celle du verre. Les examinateurs exposent enfin quant au critère "Qualité graphique des valeurs et des textures" que ces dernières étaient rendues de manière insuffisante dans leur ensemble, que la noix ne comportait aucune valeur en soi, que le verre n'avait pas de reflet ou de zone plus lumineuse et que la serviette n'avait aucune structure de style papier. A la vue du dessin de la recourante, on doit bien constater que l'évaluation des examinateurs repose sur des considérations objectives. On ne peut en effet guère nier que les lignes et les contours du dessin de la recourante ne décrivent pas avec précision la matérialité des objets et que la qualité graphique des valeurs et des textures est insuffisante. Cela se traduit en particulier sur la représentation du verre et de la serviette pour le moins basique, ou encore de la fourchette. C'est dire que rien n'indique que les examinateurs se soient laissés guider par des considérations étrangères à l'examen ou de toute évidence insoutenables pour d'autres raisons. La recourante pour sa part se limite à faire de simples allégations, sans démontrer pourquoi et dans quelle mesure les caractéristiques graphiques de son dessin auraient dû conduire à une appréciation différente. Elle ne fait qu'opposer sa propre appréciation à celle retenue par les examinateurs et ses critiques ne démontrent pas en quoi l'évaluation de son dessin serait insoutenable ou manifestement injuste. Or, comme nous l'avons vu ci-dessus, les griefs matériels visant l'appréciation des prestations d'examen doivent être soutenus par des arguments objectifs et des moyens de preuves (cf. supra consid. 2). Concernant la prétendue subjectivité des motifs de notation évoqués, le Tribunal de céans rappelle que les examinateurs ont un large pouvoir d'appréciation en matière d'évaluation des examens d'arts visuels. Il constate en outre que les critères d'évaluation prévus par les Directives ont été respectés par les examinateurs. De surcroît, rien au dossier n'indique que les déclarations contenues dans la prise de position des examinateurs ne correspondraient pas à l'appréciation effectuée au moment de la correction de l'examen. Partant, les arguments développés à ce sujet par la recourante sont dénués de pertinence. Le recours s'avère donc mal fondé.</w:t>
      </w:r>
    </w:p>
    <w:p>
      <w:r>
        <w:rPr>
          <w:b/>
        </w:rPr>
        <w:t>E. 7</w:t>
      </w:r>
    </w:p>
    <w:p>
      <w:r>
        <w:t>Au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 dans la mesure où il est recevable.</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lesquels s'élèvent à Fr. 500.-, doivent être intégralement mis à la charge de la recourante qui succombe. Ils sont compensés par l'avance de frais de Fr. 500.- déjà versée par la recourante le 18 octobre 2012.</w:t>
      </w:r>
    </w:p>
    <w:p>
      <w:r>
        <w:rPr>
          <w:b/>
        </w:rPr>
        <w:t>E. 8.2</w:t>
      </w:r>
    </w:p>
    <w:p>
      <w:r>
        <w:t>Vu l'issue de la procédure, la recourante n'a pas droit à des dépens (art. 64 PA et art. 7 al. 1 FITAF).</w:t>
      </w:r>
    </w:p>
    <w:p>
      <w:r>
        <w:rPr>
          <w:b/>
        </w:rPr>
        <w:t>E. 9</w:t>
      </w:r>
    </w:p>
    <w:p>
      <w:r>
        <w:t>Le présent arrêt est définitif (art. 83 let. t de la loi du 17 juin 2005 sur le Tribunal fédéral [LTF, RS 173.110]).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