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B-5257/2017 vom 23. April 2018</w:t>
      </w:r>
    </w:p>
    <w:p>
      <w:r>
        <w:t>Bundesverwaltungsgericht, 2018-04-23, FR</w:t>
      </w:r>
    </w:p>
    <w:p>
      <w:r>
        <w:rPr>
          <w:b/>
        </w:rPr>
        <w:t xml:space="preserve">Quelle: </w:t>
      </w:r>
      <w:r>
        <w:t>https://mcp.opencaselaw.ch/entscheid/bvger_B-5257_2017</w:t>
      </w:r>
    </w:p>
    <w:p>
      <w:r>
        <w:t>FR: TAF B-5257/2017 du 23 avril 2018</w:t>
      </w:r>
    </w:p>
    <w:p>
      <w:r>
        <w:t>IT: TAF B-5257/2017 del 23 aprile 2018</w:t>
      </w:r>
    </w:p>
    <w:p>
      <w:pPr>
        <w:pStyle w:val="Heading2"/>
      </w:pPr>
      <w:r>
        <w:t>Regeste</w:t>
      </w:r>
    </w:p>
    <w:p>
      <w:r>
        <w:t>Maturité fédérale professionnelle</w:t>
      </w:r>
    </w:p>
    <w:p>
      <w:pPr>
        <w:pStyle w:val="Heading2"/>
      </w:pPr>
      <w:r>
        <w:t>Erwägungen</w:t>
      </w:r>
    </w:p>
    <w:p>
      <w:r>
        <w:rPr>
          <w:b/>
        </w:rPr>
        <w:t>E. 1</w:t>
      </w:r>
    </w:p>
    <w:p>
      <w:r>
        <w:t>Le Tribunal administratif fédéral est compétent pour statuer sur le présent recours (cf. art. 31, 32 et 33 let. f LTAF et art. 5 al. 1 let. a PA). La qualité pour recourir doit être reconnue à la recourante (cf. art. 48 al. 1 PA). Les autres conditions de recevabilité sont en outre respectées (cf. art. 50 al. 1, 52 al. 1 et 63 al. 4 PA). Le recours est ainsi recevable.</w:t>
      </w:r>
    </w:p>
    <w:p>
      <w:r>
        <w:rPr>
          <w:b/>
        </w:rPr>
        <w:t>E. 2.1</w:t>
      </w:r>
    </w:p>
    <w:p>
      <w:r>
        <w:t>Selon l'art. 63 Cst., la Confédération est compétente pour légiférer sur la formation professionnelle (al. 1) ; elle encourage la diversité ainsi que la perméabilité de l'offre dans ce domaine (al. 2).</w:t>
      </w:r>
    </w:p>
    <w:p>
      <w:r>
        <w:rPr>
          <w:b/>
        </w:rPr>
        <w:t>E. 2.2</w:t>
      </w:r>
    </w:p>
    <w:p>
      <w:r>
        <w:t>Partant, l'art. 1 de la loi fédérale du 13 décembre 2002 sur la formation professionnelle (LFPr, RS 412.10) prévoit que la formation professionnelle est la tâche commune de la Confédération, des cantons et des organisations du monde du travail. Ceux-ci veillent à assurer autant que possible une offre suffisante dans le secteur de la formation professionnelle, notamment dans les domaines d'avenir (al. 1). La LFPr régit en particulier la maturité professionnelle fédérale (art. 2 al. 1 let. a). L'art. 25 al. 1 LFPr prévoit que la maturité professionnelle fédérale rend son titulaire apte à suivre des études dans une haute école spécialisée. Les cantons veillent à ce que l'enseignement menant à la maturité professionnelle réponde aux besoins (al. 3). L'art. 25 al. 5 LFPr donne au Conseil fédéral la compétence de réglementer la maturité professionnelle. De même, l'art. 22 de l'ordonnance du 19 novembre 2003 sur la formation professionnelle (OFPr, RS 412.101) prévoit que la maturité professionnelle fédérale est régie par l'ordonnance du 24 juin 2009 sur la maturité professionnelle fédérale (OMPr, RS 412.103.1), qui règlemente notamment l'examen de maturité professionnelle (art. 1 let. d OMPr). Selon l'art. 3 let. g OMPr, les titulaires de la maturité professionnelle fédérale sont notamment capables de se faire comprendre dans deux langues nationales ainsi que dans une troisième langue.</w:t>
      </w:r>
    </w:p>
    <w:p>
      <w:r>
        <w:rPr>
          <w:b/>
        </w:rPr>
        <w:t>E. 2.3</w:t>
      </w:r>
    </w:p>
    <w:p>
      <w:r>
        <w:t>Le Secrétariat d'Etat à la formation, à la recherche et à l'innovation réglemente l'examen fédéral de maturité professionnelle pour les titulaires d'un certificat fédéral de capacité qui n'ont pas suivi de filière de formation reconnue (art. 4 al. 2 OMPr).</w:t>
      </w:r>
    </w:p>
    <w:p>
      <w:r>
        <w:rPr>
          <w:b/>
        </w:rPr>
        <w:t>E. 2.4</w:t>
      </w:r>
    </w:p>
    <w:p>
      <w:r>
        <w:t>Fondé sur cette disposition, le règlement des examens fédéraux de maturité professionnelle du 22 septembre 2009 (ci-après : le règlement d'examen) a été édicté. A teneur de l'art. 2 dudit règlement, la Commission fédérale de maturité professionnelle est responsable du déroulement des examens fédéraux de maturité professionnelle. Celle-ci a ainsi arrêté le guide pour les examens fédéraux de la maturité professionnelle. Celui-ci décrit notamment le déroulement de chaque épreuve, le matériel dont les candidats doivent se prémunir et des conseils divers destinés aux candidats. Ledit guide précise que l'épreuve orale d'anglais porte sur un thème librement choisi par l'étudiant mais qui doit toutefois être sujet à controverse. Le candidat est amené lors de l'examen à conduire une discussion structurée dans laquelle ressortent de façon claire les aspects controversés, au moyen d'éléments concrets (pt 3.3 du guide). Enfin, le guide comprend en son annexe une grille d'évaluation de l'examen oral, indiquant les six critères de notation suivants : la préparation ; le contenu et la structure ; le langage corporel ; la qualité du vocabulaire et de la langue ; la capacité de la candidate à diriger activement la conversation ainsi que la participation du candidat à la conversation. Chacun de ces critères est évalué sur six points, six étant le nombre de points maximum que le candidat peut obtenir (annexe 1 du guide). Le guide divise également l'épreuve écrite en cinq parties : compréhension orale ; compréhension écrite ; grammaire et deux parties rédactionnelles (pt 4.4 du guide).</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121 I 225 consid. 4b ; ATAF 2010/11 consid. 4.1, 2008/14 consid. 3.1 ; arrêt du TAF B-4257/2013 du 17 novembre 2015 consid. 3.1 ; Herbert Plotke, Schweizerisches Schulrecht, 2e éd., Berne 2003, p. 722 ss). De plus, de par leur nature, les décisions en matière d'examens ne se prêtent pas bien à un contrôle judiciaire, étant donné que l'autorité de recours ne connaît pas tous les facteurs d'évaluation et n'est pas, en règle générale, à même de juger de la qualité ni de l'ensemble des épreuves des recourants ni de celles des autres candidats. Un libre examen des décisions en cette matière pourrait ainsi engendrer des inégalités de traitement (cf. ATAF 2010/11 consid. 4.1, 2008/14 consid. 3.1, 2007/6 consid. 3 et réf. cit.).</w:t>
      </w:r>
    </w:p>
    <w:p>
      <w:r>
        <w:rPr>
          <w:b/>
        </w:rPr>
        <w:t>E. 3.2</w:t>
      </w:r>
    </w:p>
    <w:p>
      <w:r>
        <w:t>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TAF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arrêts du TAF B-1997/2012 du 14 septembre 2012 consid. 2.3 et B-7354/2008 précité consid. 4.3).</w:t>
      </w:r>
    </w:p>
    <w:p>
      <w:r>
        <w:rPr>
          <w:b/>
        </w:rPr>
        <w:t>E. 3.3</w:t>
      </w:r>
    </w:p>
    <w:p>
      <w:r>
        <w:t>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B-6776/2014 du 24 septembre 2015 consid. 3.1 in fine et B-6727/2013 du 8 juillet 2014 consid. 4).</w:t>
      </w:r>
    </w:p>
    <w:p>
      <w:r>
        <w:rPr>
          <w:b/>
        </w:rPr>
        <w:t>E. 4.1</w:t>
      </w:r>
    </w:p>
    <w:p>
      <w:r>
        <w:t>La recourante se plaint de l'évaluation de son épreuve d'anglais, pour laquelle elle a obtenu une note de 4 à l'examen écrit et de 2 à l'examen oral. Elle estime que les résultats obtenus ne sont pas représentatifs de son niveau d'anglais puisqu'elle est titulaire du niveau Advanced 1, obtenu à la suite de sa scolarisation d'une durée de 31 semaines à Toronto. Elle s'étonne également que dits résultats soient moins bons que ceux obtenus en allemand, son niveau dans cette dernière langue étant inférieur.</w:t>
      </w:r>
    </w:p>
    <w:p>
      <w:r>
        <w:rPr>
          <w:b/>
        </w:rPr>
        <w:t>E. 4.2</w:t>
      </w:r>
    </w:p>
    <w:p>
      <w:r>
        <w:t>L'autorité inférieure soutient qu'un relèvement de la note obtenue n'est ni possible ni justifié. En effet, selon la prise de position des experts, le niveau de la candidate était nettement insuffisant, aussi bien s'agissant du contenu que de la langue. De même, l'exposé de la candidate ne correspondait pas au standard déterminé. Le procès-verbal de l'examen oral révèle par ailleurs que la prestation de la candidate était trop courte, que celle-ci n'a pas été en mesure de répondre aux questions posées, que son argumentaire était superficiel, tant au niveau du contenu que des éléments de langage et qu'elle a eu un comportement passif et hésitant dans les échanges avec les examinateurs. L'autorité inférieure maintient donc la note de 2 pour l'examen oral et la note de 4 pour la partie écrite.</w:t>
      </w:r>
    </w:p>
    <w:p>
      <w:r>
        <w:rPr>
          <w:b/>
        </w:rPr>
        <w:t>E. 4.3</w:t>
      </w:r>
    </w:p>
    <w:p>
      <w:r>
        <w:t>En l'occurrence, les critiques de la recourante ne permettent pas de faire apparaître arbitraire l'évaluation de ses prestations. En effet, à l'aune des critères d'évaluation de l'examen oral fixés dans le guide d'évaluation - qui prévoit expressément le contenu, la structure de l'exposé, le niveau du vocabulaire et de la langue ainsi que la participation à la discussion - il n'est nullement insoutenable de considérer que la prestation globale de la recourante équivaut à la note de 2. En tout état de cause, par ces critiques toutes générales et appellatoires, la recourante, à qui incombe le fardeau de la preuve, ne fait qu'opposer sa propre appréciation de ses connaissances générales de la langue anglaise à celle que les examinateurs font de sa prestation à l'examen. Ses allégations ne sont soutenues par aucun argument objectif et moyen de preuve ; elles ne satisfont pas aux exigences de motivation (cf. supra consid. 3.3). C'est ainsi en vain que la recourante se prévaut de son niveau d'anglais, dès lors que seul le résultat contesté doit être examiné et non l'éventuel savoir ou savoir-faire qu'estime posséder la recourante (cf. arrêts du TAF B-7288/2010 du 25 janvier 2011 consid. 3.6 et B-6075/2012 du 6 juin 2013 consid. 5.2). Mal fondé, le recours doit donc être rejeté sur ce point.</w:t>
      </w:r>
    </w:p>
    <w:p>
      <w:r>
        <w:rPr>
          <w:b/>
        </w:rPr>
        <w:t>E. 5</w:t>
      </w:r>
    </w:p>
    <w:p>
      <w:r>
        <w:t>Selon l'art. 20 du règlement d'examen, l'examen est réussi aux conditions que la note globale soit égale ou supérieure à 4,0 (let. a) ; pas plus de trois notes soient insuffisantes (let. b) ; la somme des écarts des notes insuffisantes par rapport à 4,0 ne dépasse pas 2,0 points (let. c) et que le TIP soit suffisant (let. d). Au vu des résultats obtenus, la recourante a obtenu des moyennes dont la somme des écarts en dessous de la note 4 est de trois points ; elle ne satisfait par conséquent pas aux conditions de réussite de l'examen de maturité professionnelle. Il résulte de ce qui précède que la décision attaquée ne viole pas le droit fédéral, ne constate pas les faits pertinents de manière inexacte ou incomplète et n'est pas inopportune (cf. art. 49 PA). Mal fondé, le recours doit être rejeté.</w:t>
      </w:r>
    </w:p>
    <w:p>
      <w:r>
        <w:rPr>
          <w:b/>
        </w:rPr>
        <w:t>E. 6</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600 francs ; ils sont entièrement compensés par l'avance de frais de 600 francs prestée, le 26 septembre 2017, par la recourante.</w:t>
      </w:r>
    </w:p>
    <w:p>
      <w:r>
        <w:rPr>
          <w:b/>
        </w:rPr>
        <w:t>E. 7</w:t>
      </w:r>
    </w:p>
    <w:p>
      <w:r>
        <w:t>Le présent arrêt est définitif (cf. art. 83 let. t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