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B-5256/2017 vom 26. September 2018</w:t>
      </w:r>
    </w:p>
    <w:p>
      <w:r>
        <w:t>Bundesverwaltungsgericht, 2018-09-26, DE</w:t>
      </w:r>
    </w:p>
    <w:p>
      <w:r>
        <w:rPr>
          <w:b/>
        </w:rPr>
        <w:t xml:space="preserve">Quelle: </w:t>
      </w:r>
      <w:r>
        <w:t>https://mcp.opencaselaw.ch/entscheid/bvger_B-5256_2017</w:t>
      </w:r>
    </w:p>
    <w:p>
      <w:r>
        <w:t>FR: TAF B-5256/2017 du 26 septembre 2018</w:t>
      </w:r>
    </w:p>
    <w:p>
      <w:r>
        <w:t>IT: TAF B-5256/2017 del 26 settembre 2018</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von Fr. 9'000.- wird ihr nach Eintritt der Rechtskraft des vorliegenden Urteils zurückerstattet.</w:t>
      </w:r>
    </w:p>
    <w:p>
      <w:r>
        <w:rPr>
          <w:b/>
        </w:rPr>
        <w:t>E. 3</w:t>
      </w:r>
    </w:p>
    <w:p>
      <w:r>
        <w:t>Die Vergabestelle wird verpflichtet, der Beschwerdeführerin eine Parteientschädigung von Fr. 7'980.65 zu bezahlen.</w:t>
      </w:r>
    </w:p>
    <w:p>
      <w:r>
        <w:rPr>
          <w:b/>
        </w:rPr>
        <w:t>E. 4</w:t>
      </w:r>
    </w:p>
    <w:p>
      <w:r>
        <w:t>Eine Kopie der Vernehmlassung der Vergabestelle vom 9. August 2018 geht zur Kenntnis an die Beschwerdeführerin.</w:t>
      </w:r>
    </w:p>
    <w:p>
      <w:r>
        <w:rPr>
          <w:b/>
        </w:rPr>
        <w:t>E. 5</w:t>
      </w:r>
    </w:p>
    <w:p>
      <w:r>
        <w:t>Dieser Entscheid geht an: - die Beschwerdeführerin (Gerichtsurkunde; Rechtsvertreter; Beilagen: gemäss Ziffer 4 und Rückerstattungsformular) - die Vergabestelle (Ref-Nr. SIMAP-Projekt-ID 150479; Gerichts- urkunde) - die Zuschlagsempfängerin Y._______AG (Rechtsvertreter; Auszug; A-Post) Für die Rechtsmittelbelehrung wird auf die nächste Seite verwiesen.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26.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