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B-5188/2010 vom 27. Mai 2011</w:t>
      </w:r>
    </w:p>
    <w:p>
      <w:r>
        <w:t>Bundesverwaltungsgericht, 2011-05-27, FR</w:t>
      </w:r>
    </w:p>
    <w:p>
      <w:r>
        <w:rPr>
          <w:b/>
        </w:rPr>
        <w:t xml:space="preserve">Quelle: </w:t>
      </w:r>
      <w:r>
        <w:t>https://mcp.opencaselaw.ch/entscheid/bvger_B-5188_2010</w:t>
      </w:r>
    </w:p>
    <w:p>
      <w:r>
        <w:t>FR: TAF B-5188/2010 du 27 mai 2011</w:t>
      </w:r>
    </w:p>
    <w:p>
      <w:r>
        <w:t>IT: TAF B-5188/2010 del 27 maggio 2011</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PA). Les autres conditions de recevabilité sont respectées (art. 11, 50, 52 al. 1 et 63 al. 4 PA).</w:t>
      </w:r>
    </w:p>
    <w:p>
      <w:r>
        <w:rPr>
          <w:b/>
        </w:rPr>
        <w:t>E. 2</w:t>
      </w:r>
    </w:p>
    <w:p>
      <w:r>
        <w:t>A teneur de l'art. 3 al. 1 de la loi sur la protection des marques du 28 août 1992 (LPM, RS 232.11),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w:t>
      </w:r>
    </w:p>
    <w:p>
      <w:r>
        <w:rPr>
          <w:b/>
        </w:rPr>
        <w:t>E. 2.1</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 (risque de confusion indirect) (ATF 128 III 441 consid. 3.1 Appenzeller, ATF 122 III 382 consid. 1 Kamillosan). Que deux marques se distinguent suffisamment ou qu'on risque de les confondre ne se détermine pas en comparant abstraitement les signes. Il s'agit au contraire de prendre en considération toutes les circonstances du cas concret (ATF 122 III 382 consid. 1 Kamillosan).</w:t>
      </w:r>
    </w:p>
    <w:p>
      <w:r>
        <w:rPr>
          <w:b/>
        </w:rPr>
        <w:t>E. 2.2</w:t>
      </w:r>
    </w:p>
    <w:p>
      <w:r>
        <w:t>Pour l'appréciation du risque de confusion, il convient de prendre en compte la similarité aussi bien des signes que des produits ou des services pour lesquels ils sont enregistrés. Indépendamment du fait que ces deux éléments s'influencent réciproquement, en ce sens que les produits ou les services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(arrêt du Tribunal administratif fédéral B-3030/2010 du 2 novembre 2010 consid. 3 et 6 ETI/E.B.I.). 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enteprises liées (Lucas David, in : Kommentar zum schweizerischen Privatrecht, Markenschutzgesetz/Muster- und Modellgesetz, Bâle 1999, no 8 ad art. 3 ; arrêt du Tribunal administratif fédéral B-3268/2007 du 25 janvier 2008 consid. 3.1 MBR/MR [fig.]). Il s'agit également d'examiner l'attention dont les consommateurs font ordinairement preuve. A cet égard,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B-6770/2007 du 9 juin 2008 consid. 7.2 Nasacort/Vasocor ; sic! 2002 163 consid. 6f Audi ; Ivan Cherpillod, Le droit suisse des marques, Lausanne 2007, p. 110 ; Eugen Marbach, in : Roland von Büren/Lucas David [éd.], Schweizerisches Immaterialgüter- und Wettbewerbsrecht, vol. III/1, Markenrecht, 2e éd., Bâle 2009, nos 995 ss).</w:t>
      </w:r>
    </w:p>
    <w:p>
      <w:r>
        <w:rPr>
          <w:b/>
        </w:rPr>
        <w:t>E. 2.3</w:t>
      </w:r>
    </w:p>
    <w:p>
      <w:r>
        <w:t>La similarité entre deux signes est déterminée par l'impression d'ensemble laissée au public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moyennement fidèle ou moyennement défaillante (ATF 121 III 377 consid. 2a Boss ; Marbach, op. cit., no 864). Pour déterminer si deux marques verbales se ressemblent au sens de l'art. 3 al. 1 let. c LPM, il y a lieu de prendre en compte leur effet auditif, leur représentation graphique et leur contenu sémantique (ATF 127 III 160 consid. 2b/cc Securitas, ATF 121 III 377 consid. 2b Boss). La similarité des marques doit en principe déjà être admise lorsque des similitudes se manifestent sur la base de l'un de ces trois critères (Marbach, op. cit., no 875 ; David, op. cit. no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ATF 122 III 382 consid. 5a Kamillosan). S'agissant des marques combinées d'éléments verbaux et graphiques, il convient de prendre en considération chacun des éléments selon sa force distinctive respective. L'impression d'ensemble d'une marque combinée est caractérisée par les éléments verbaux lorsque les éléments graphiques ne sont pas particulièrement originaux et que ceux-ci ne sont pas en mesure de conférer à la marque une image facile à retenir (arrêt du Tribunal administratif fédéral B-4159/2009 du 25 novembre 2009 consid. 2.4 et les réf. Efe [fig.]/Eve). Enfin, les éléments d'une marque qui sont faibles ou qui appartiennent au domaine public ne doivent pas être purement et simplement exclus de l'examen de la similarité des signes. En effet, de tels éléments peuvent, eux aussi, influencer l'impression d'ensemble d'une marque (arrêt du Tribunal administratif fédéral B-38/2011 du 29 avril 2011 consid. 7.1.2 IKB/ICB [fig.], IKB/ICB et IKB/ICB BANKING GROUP).</w:t>
      </w:r>
    </w:p>
    <w:p>
      <w:r>
        <w:rPr>
          <w:b/>
        </w:rPr>
        <w:t>E. 2.4</w:t>
      </w:r>
    </w:p>
    <w:p>
      <w:r>
        <w:t>L'examen de l'existence d'un risque de confusion suppose également de s'interroger sur l'étendue de protection de la marque opposante (arrêt du Tribunal administratif fédéral B-7352/2008 du 17 juin 2009 consid. 7 Torres/Torre Saracena). L'aire de protection d'une marque dépend de sa force distinctive. Elle est plus restreinte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(arrêt du Tribunal administratif fédéral B 1077/2008 du 3 mars 2009 consid. 6 Sky/SkySIM ; ATF 122 III 382 consid. 2a Kamillosan).</w:t>
      </w:r>
    </w:p>
    <w:p>
      <w:r>
        <w:rPr>
          <w:b/>
        </w:rPr>
        <w:t>E. 3</w:t>
      </w:r>
    </w:p>
    <w:p>
      <w:r>
        <w:t>En l'espèce, l'Institut fédéral a estimé dans sa décision que les services de la classe 36 de la marque attaquée "MG INTERNATIONAL" étaient identiques et similaires aux services pour lesquelles la marque opposante "M&amp;G (fig.)" est protégée. Au terme d'une comparaison des marques précitées, il a considéré qu'elles étaient similaires sous les angles phonétiques et visuels, les éléments "&amp;" et "international" ne permettant pas de les distinguer eu égard à leur faible caractère distinctif ; le critère sémantique ne serait quant à lui pas pertinent, les marques opposées ayant une signification indéterminée. L'autorité inférieure a dès lors admis l'existence d'un risque de confusion, tant direct qu'indirect. La recourante conteste cette décision. Elle fait valoir que les marques opposées ne sont pas similaires de sorte que l'existence d'un danger de confusion doit être exclue. Il s'agit dès lors d'examiner si les marques opposées sont destinées à des produits ou des services identiques ou similaires (consid. 4), si elles sont elles-mêmes similaires (consid. 5) et s'il en résulte un risque de confusion (consid. 5).</w:t>
      </w:r>
    </w:p>
    <w:p>
      <w:r>
        <w:rPr>
          <w:b/>
        </w:rPr>
        <w:t>E. 4</w:t>
      </w:r>
    </w:p>
    <w:p>
      <w:r>
        <w:t>La marque opposante est protégée pour les services suivants de la classe 36 : services d'assurances vie ; gestion financière ; services de caisses de retraite ; investissements financiers ; placement de fonds ; services de comptes chèques ; services fiduciaires ; services de courtiers et d'agents en obligations et autres valeurs mobilières. La marque attaquée est quant à elle enregistrée en lien avec des produits de la classe 35 et des services des classes 36 et 45. L'opposition formée par l'intimée ne vise que les services de la classe 36 pour lesquels la marque attaquée est enregistrée, à savoir les Versicherungswesen ; Finanzwesen ; Geldeschäfte. En conséquence, l'enregistrement de ladite marque pour les produits de la classe 35 et les services de la classe 45 n'est pas contesté. Dans la décision querellée, l'Institut fédéral a considéré que les services de la classe 36 des marques opposées étaient pour une part identiques et pour le reste similaires. Cette appréciation n'est pas remise en cause par la recourante.</w:t>
      </w:r>
    </w:p>
    <w:p>
      <w:r>
        <w:rPr>
          <w:b/>
        </w:rPr>
        <w:t>E. 5</w:t>
      </w:r>
    </w:p>
    <w:p>
      <w:r>
        <w:t>Les marques en présence sont, d'une part, "M&amp;G (fig.)" (marque opposante) et, d'autre part, "MG INTERNATIONAL" (marque attaquée). Dans la décision attaquée, l'Institut fédéral a retenu que les marques précitées étaient similaires sous les angles visuels et auditifs. Les éléments "&amp;" et "international", d'importance faible, ne seraient pas à même de distinguer les marques "M&amp;G (fig.)" et "MG INTERNATIONAL". Le critère sémantique ne serait quant à lui pas déterminant. La recourante soutient que les marques en présence ne sont pas deux acronymes, mais, pour la marque opposante, un signe combiné dont l'élément verbal est formé des lettres "M" et "G" et du symbole "&amp;" et, pour la marque attaquée, une pure marque verbale formée de deux termes dont un acronyme. Sous l'angle phonétique, les marques opposées seraient ainsi complètement distinctes. Sous l'angle visuel, la recourante fait valoir que la marque opposante est clairement dominée par le symbole "&amp;". Quant à l'aspect sémantique, elle allègue que lesdits signes ont un contenu différent. L'intimée fait pour sa part valoir que les marques en présence sont dominées par les lettres "M" et "G" et qu'elles présentent de fait des similitudes aussi bien dans leur impression d'ensemble que sous les angles visuels et phonétiques. La présence du terme "international" n'aurait aucune incidence sur le contenu sémantique, eu égard à son caractère générique. Par ailleurs, le symbole "&amp;" n'aurait pas de caractère distinctif et ne serait donc lui aussi pas de nature à influencer l'impression d'ensemble de la marque.</w:t>
      </w:r>
    </w:p>
    <w:p>
      <w:r>
        <w:rPr>
          <w:b/>
        </w:rPr>
        <w:t>E. 5.1</w:t>
      </w:r>
    </w:p>
    <w:p>
      <w:r>
        <w:t>La marque opposante est une marque combinée sans revendication de couleur formée d'un élément verbal "M&amp;G" et d'un élément graphique. Les lettres "M" et "G" sont écrites en caractères standards ; le symbole "&amp;" (une esperluette) qui les sépare est représenté dans un ton plus clair et de manière stylisée comme s'il avait été tracé au pinceau. Cette esperluette est placée entre les lettres "M" et "G" et les chevauche très partiellement. La marque attaquée est pour sa part une pure marque verbale formée de l'acronyme "MG" et du terme "INTERNATIONAL". Il s'agit donc de procéder à l'examen de la similarité des marques en présence sous les angles visuels, phonétiques et sémantiques.</w:t>
      </w:r>
    </w:p>
    <w:p>
      <w:r>
        <w:rPr>
          <w:b/>
        </w:rPr>
        <w:t>E. 5.1.1</w:t>
      </w:r>
    </w:p>
    <w:p>
      <w:r>
        <w:t>D'un point de vue visuel d'abord, les marques en présence ont en commun les lettres "M" et "G". Elles se distinguent toutefois sur plusieurs points. En raison de la présence du terme "international", qui ne saurait être écarté lors de l'examen de la similarité des marques bien qu'il s'agisse d'un élément faible (cf. ci-dessus consid. 4), la marque attaquée bénéficie d'une impression d'ensemble visuelle clairement plus longue. Elle est de surcroît dépourvue d'un élément graphique, contrairement à la marque opposante. Cet élément est à l'évidence banal et dépourvu de caractère distinctif autonome, de sorte que l'impression d'ensemble de la marque opposante est dominée par son élément verbal "M&amp;G". Néanmoins, l'élément graphique met en évidence le symbole "&amp;". En raison des contrastes utilisés et de la position du symbole qui recouvre très partiellement les lettres qui l'entourent, l'esperluette jouit d'une importance visuelle qui ne saurait être négligée dans l'impression d'ensemble de la marque opposante. Or, ce symbole ne se retrouve pas dans la marque attaquée, ce qui la distingue de la marque opposante. Il ressort de ce qui précède que les marques en cause sont distinctes sous l'angle visuel.</w:t>
      </w:r>
    </w:p>
    <w:p>
      <w:r>
        <w:rPr>
          <w:b/>
        </w:rPr>
        <w:t>E. 5.1.2</w:t>
      </w:r>
    </w:p>
    <w:p>
      <w:r>
        <w:t>D'un point de vue auditif, la marque opposante compte trois syllabes et sera prononcée "èm-/é-/jé" ("[ m-/e-/ e]") en français ou, en allemand, "èm-/ount-/gué" ("[ m-/ nt-/ge ]"). Les voyelles prononcées sont ainsi "è-/é-/é" ("[ ]-/[e]-/[e]"), respectivement "è-/ou-/é" ("[ ]-/[ ]-/[e ]") ; et les consonnes "m-/j" ("[m]-/[ ]") et "m-/n-/t-/g" ("[m]-/[n]-/[t]/-[g]"). La marque attaquée est quant à elle plus longue, puisqu'elle comporte sept syllabes. Elle sera prononcée "èm-/jé - [in]-/ter-/na-/sio-/nal" ("[ m / e -- -/t -/na-/sj -/nal]") en français ou "èm-/gué - in-/ter-/na-/tsio-/nal" ("[ m-/ge -- n-/t -/na-/tsjo -/na l]") en allemand. En français, le début de la marque attaquée présente des similitudes avec la marque opposante. Les premières consonnes sont communes (m [m] et j [ ]), de même que les voyelles nécessaires à leur prononciation, à savoir "è [ ]" et "é [e]" : "èm-é-jé" "[ m-/e-/ e]" pour la marque opposante et "èm-jé "[ m-/ e]" pour la marque attaquée. Il est vrai que la marque attaquée est sensiblement plus longue, avec ses sept syllabes. Toutefois, comme nous l'avons vu ci-dessus, le début des mots suscite en règle générale davantage l'attention que leur fin. Tel est le cas en l'espèce, d'autant plus que "MG" et "international" sont deux termes séparés l'un de l'autre. C'est dire que, sous l'angle phonétique et en langue française, les marques en présence sont similaires. Il en va différemment de l'allemand. En effet, l'esperluette (und) se prononce "ount" ("[ nt]"). Ainsi donc, la syllabe centrale de la marque opposante ("-/ount-/" "[ / nt /]") ne se retrouve pas dans la marque attaquée. Dans ces conditions, les deux syllabes initiales de la marque attaquée sont clairement distinctes des syllabes de la marque opposante. Cette différence phonétique est encore accentuée par la longueur de la marque attaquée. Il apparaît ainsi qu'en langue allemande, les marques en présence ne sont pas similaires. Il ressort de ce qui précède qu'il faut reconnaître une similarité phonétique des marques en présence en langue française uniquement. Chacune des langues nationales étant toutefois d'importance équivalente (voir en ce sens : ATF 131 III 495 consid. 5 Felsenkeller ; ATF 127 III 160 consid. 2b/aa Securitas), il suffit qu'il existe des similitudes dans l'une des langues pour que la similarité des marques opposées soit admise. Il y a donc lieu de retenir que lesdites marques sont similaires sous l'angle phonétique.</w:t>
      </w:r>
    </w:p>
    <w:p>
      <w:r>
        <w:rPr>
          <w:b/>
        </w:rPr>
        <w:t>E. 5.1.3</w:t>
      </w:r>
    </w:p>
    <w:p>
      <w:r>
        <w:t>Il sied enfin de comparer les marques en présence sous l'angle sémantique. Un acronyme qui n'est pas notoire a, dans son ensemble, un contenu sémantique indéterminé, même s'il est possible de deviner la signification de lettres individuelles (David Aschmann, in : Michael Noth/Gregor Bühler/Florent Thouvenin [éd.], Markenschutzgesetz, Berne 2009, no 123 ad art. 2 let. a). En l'espèce, les acronymes qui constituent les marques en présence ne sont pas notoires. A propos de la marque opposante d'abord, l'acronyme "M&amp;G" ne peut vraisemblablement avoir que deux significations, dont une seule dans le domaine commercial et financier, à savoir "Municipal &amp; General Investments Ltd" (www.acronymfinder.com). Bien qu'il s'agisse du nom "intégral" de l'intimée (www.mandg.fr/fr/AProposDeMandG/ index.jsp), rien au dossier ne permet d'affirmer que cet acronyme est connu du cercle des destinataires suisses des services en cause. Quant à l'autre signification proposée par le site www.acronyfinder.com (mapping &amp; geodesy), on peut sans autre affirmer qu'il est certain que le consommateur ne pourra pas la déduire sans difficulté. L'autorité inférieure a donc considéré à bon droit que la marque opposante n'avait pas de signification particulière. La marque attaquée est pour sa part constituée de l'acronyme "MG" et du terme "international". "MG" peut avoir, selon le site www.acronymfinder.com, 76 significations, dont onze dans le domaine commercial et financier. C'est dire que, pour les destinataires des services pour lesquels la marque est enregistrée, cet acronyme n'a pas de signification facilement compréhensible. Les consommateurs pourraient éventuellement reconnaître dans cet acronyme l'abréviation du milligramme ou du magnésium. C'est toutefois sans rapport avec les services pour lesquels la marque attaquée est enregistrée. Il sied également de prendre en considération le terme "international". Celui-ci a une signification claire, tant pour le consommateur francophone que germanophone. Il confère ainsi au moins partiellement un sens à la marque attaquée (cf. arrêt du Tribunal administratif fédéral B-38/2011 du 29 avril 2011 consid. 7.3.2 IKB/ICB [fig.], IKB/ICB et IKB/ICB BANKING GROUP). Compte tenu de ce qui précède, il y a lieu de retenir que les marques en présence se distinguent sur le plan sémantique.</w:t>
      </w:r>
    </w:p>
    <w:p>
      <w:r>
        <w:rPr>
          <w:b/>
        </w:rPr>
        <w:t>E. 5.2</w:t>
      </w:r>
    </w:p>
    <w:p>
      <w:r>
        <w:t>Il ressort de l'examen de la similarité des marques "M&amp;G (fig.)" et "MG INTERNATIONAL" que ces dernières sont distinctes sous les angles visuels et sémantiques. En revanche, elles présentent, quelques similitudes sous l'angle phonétique. Comme nous l'avons vu ci-dessus, la similarité des marques doit en principe déjà être admise lorsque des similitudes ne manifestent sur la base de l'un des critères visuels, phonétiques et sémantiques (cf. consid. 2.3). Force est donc de conclure que les marques en présence sont similaires au sens de l'art. 3 al. 1 let. c LPM.</w:t>
      </w:r>
    </w:p>
    <w:p>
      <w:r>
        <w:rPr>
          <w:b/>
        </w:rPr>
        <w:t>E. 6</w:t>
      </w:r>
    </w:p>
    <w:p>
      <w:r>
        <w:t>Reste à examiner si, dans leur ensemble, les marques en présence risquent d'être confondues. Il s'agit ainsi d'abord de déterminer l'attention dont font preuve les destinataires des produits ou des services pour lesquels les marques sont enregistrés (consid. 6.1) et la force distinctive de la marque opposante (consid. 6.2) avant d'examiner la question de l'existence ou non d'un risque de confusion (consid. 6.3).</w:t>
      </w:r>
    </w:p>
    <w:p>
      <w:r>
        <w:rPr>
          <w:b/>
        </w:rPr>
        <w:t>E. 6.1</w:t>
      </w:r>
    </w:p>
    <w:p>
      <w:r>
        <w:t>Les marques opposées sont destinées à des services financiers. Il ne s'agit donc pas de prestations de service pour lesquels il existe un besoin quotidien (service de consommation courante). Il en résulte que les consommateurs feront preuve d'une certaine attention lors de l'achat (arrêt du Tribunal administratif fédéral B-38/2011 du 29 avril 2011 consid. 8.1 IKB/ICB [fig.], IKB/ICB et IKB/ICB BANKING GROUP).</w:t>
      </w:r>
    </w:p>
    <w:p>
      <w:r>
        <w:rPr>
          <w:b/>
        </w:rPr>
        <w:t>E. 6.2</w:t>
      </w:r>
    </w:p>
    <w:p>
      <w:r>
        <w:t>La marque opposante est un acronyme représenté de manière stylisée, en ce sens que le symbole "&amp;" est comme tracé au pinceau, par-devant les lettes "M" et "G". Comme nous l'avons vu ci-dessus, cette marque n'a aucun contenu sémantique déterminé, facilement compréhensible pour le consommateur. Selon la doctrine et la jurisprudence, les acronymes doivent en principe être traités de la même manière que les autres marques. Il ne s'agit a priori pas de reconnaître à des marques acronymiques un champ de protection restreint (arrêt du Tribunal administratif fédéral B-38/2011 du 29 avril 2011 consid. 8.1 et les réf. cit. IKB/ICB [fig.], IKB/ICB et IKB/ICB BANKING GROUP ; Gallus Joller, in : Noth/Bühler/Thouvenin, op. cit., no 83 ad art. 3). Ainsi donc, l'Institut fédéral a considéré à bon droit que la marque opposante bénéficie d'une force distinctive normale.</w:t>
      </w:r>
    </w:p>
    <w:p>
      <w:r>
        <w:rPr>
          <w:b/>
        </w:rPr>
        <w:t>E. 6.3.1</w:t>
      </w:r>
    </w:p>
    <w:p>
      <w:r>
        <w:t>Selon la jurisprudence, le public mémorise bien les acronymes et les signes courts. Il en découle que l'existence d'un danger de confusion entre de telles marques est réduite. Ainsi, le Tribunal administratif fédéral a jugé que la marque "ICB" ne portait pas atteinte à la fonction distinctive de la marque "IKB" (arrêt B-38/2011 du 29 avril 2011 consid. 8.3), qu'il n'y avait pas de risque de confusion entre les marques "ETI" et "E.B.I." (arrêt B 3030/2010 du 2 novembre 2010 consid. 5.2 s.), "EFE (fig.)" et "EVE" (arrêt B-4159/2009 du 25 novembre 2009 consid. 5.2 s.) et "MBR" et "MR (fig.)" (arrêt B-3268/2007 du 25 janvier 2008 consid. 5) (voir également : ATF 121 III 377 consid. 2b Boss/Boks).</w:t>
      </w:r>
    </w:p>
    <w:p>
      <w:r>
        <w:rPr>
          <w:b/>
        </w:rPr>
        <w:t>E. 6.3.2</w:t>
      </w:r>
    </w:p>
    <w:p>
      <w:r>
        <w:t>En l'espèce, il y a certes lieu de reconnaître des similitudes phonétiques entre les marques en présence, à tout le moins en français. Néanmoins, on ne saurait négliger que trois éléments décisifs les distinguent dans leur impression d'ensemble respective. En effet, la marque opposante contient d'abord une esperluette. Or, on ne retrouve pas ce symbole dans la marque attaquée. Ensuite, cette esperluette, compte tenu de sa représentation graphique, jouit d'une importance distinctive non négligeable qui imprègne l'impression d'ensemble de la marque opposante. Enfin, la marque attaquée comprend l'élément verbal "international" qui la distingue de la marque opposante sous les angles visuel, phonétique et sémantique. Ainsi donc, compte tenu du fait que les marques opposées sont pour l'essentiel des acronymes et eu égard au fait que les consommateurs font preuve d'une certaine attention lors de l'achat de services financiers, ces différences suffisent à éviter que les marques en présence soient confondues. Le consommateur normalement informé et raisonnablement attentif ne pourra attribuer un service offert sous l'une ou l'autre marque au faux prestataire de services malgré leurs modestes ressemblances ou présumer de l'existence de rapports qui n'existent pas.</w:t>
      </w:r>
    </w:p>
    <w:p>
      <w:r>
        <w:rPr>
          <w:b/>
        </w:rPr>
        <w:t>E. 6.4</w:t>
      </w:r>
    </w:p>
    <w:p>
      <w:r>
        <w:t>Force est de conclure que, contrairement à ce qu'a retenu l'Institut fédéral et à ce que soutient l'intimée, il n'existe pas de risque de confusion direct ou indirect entre la marque opposante et la marque attaquée.</w:t>
      </w:r>
    </w:p>
    <w:p>
      <w:r>
        <w:rPr>
          <w:b/>
        </w:rPr>
        <w:t>E. 7</w:t>
      </w:r>
    </w:p>
    <w:p>
      <w:r>
        <w:t>Il ressort de ce qui précède que, bien fondé, le recours formé par MG International SA doit être admis, la décision de l'Institut fédéral doit être annulée et l'opposition no 10'580 doit être rejetée.</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quant à la valeur litigieuse, l'ampleur du litige doit être fixée selon les valeurs empiriques, soit entre Fr. 50'000.- et Fr. 100'000.- (ATF 133 III 490 consid. 3.3). En l'espèce, les frais de procédure doivent être fixés à Fr. 4'000.- et mis à la charge de l'intimée qui succombe. L'avance de frais de Fr. 4'000.- versée par la recourante est restituée à cette dernière.</w:t>
      </w:r>
    </w:p>
    <w:p>
      <w:r>
        <w:rPr>
          <w:b/>
        </w:rPr>
        <w:t>E. 7.2</w:t>
      </w:r>
    </w:p>
    <w:p>
      <w:r>
        <w:t>La recourante, qui obtient gain de cause et qui est représentée par un avocat, a droit à des dépens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La recourante n'ayant pas présenté de décompte d'honoraires, l'indemnité à titre de dépens doit être fixée sur la base du dossier (art. 14 al. 2 FITAF). Elle est ainsi équitablement fixée à Fr. 2'000.- (TVA comprise). A ce montant s'ajoute une indemnité de Fr. 1'000.- (TVA comprise) à titre de dépens pour la procédure devant l'autorité inférieure, également mise à la charge de l'intimée.</w:t>
      </w:r>
    </w:p>
    <w:p>
      <w:r>
        <w:rPr>
          <w:b/>
        </w:rPr>
        <w:t>E. 8</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