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B-5178/2012 vom 2. September 2013</w:t>
      </w:r>
    </w:p>
    <w:p>
      <w:r>
        <w:t>Bundesverwaltungsgericht, 2013-09-02, DE</w:t>
      </w:r>
    </w:p>
    <w:p>
      <w:r>
        <w:rPr>
          <w:b/>
        </w:rPr>
        <w:t xml:space="preserve">Quelle: </w:t>
      </w:r>
      <w:r>
        <w:t>https://mcp.opencaselaw.ch/entscheid/bvger_B-5178_2012</w:t>
      </w:r>
    </w:p>
    <w:p>
      <w:r>
        <w:t>FR: TAF B-5178/2012 du 2 septembre 2013</w:t>
      </w:r>
    </w:p>
    <w:p>
      <w:r>
        <w:t>IT: TAF B-5178/2012 del 2 settembre 2013</w:t>
      </w:r>
    </w:p>
    <w:p>
      <w:pPr>
        <w:pStyle w:val="Heading2"/>
      </w:pPr>
      <w:r>
        <w:t>Regeste</w:t>
      </w:r>
    </w:p>
    <w:p>
      <w:r>
        <w:t>Landwirtschaft (Übriges)</w:t>
      </w:r>
    </w:p>
    <w:p>
      <w:pPr>
        <w:pStyle w:val="Heading2"/>
      </w:pPr>
      <w:r>
        <w:t>Erwägungen</w:t>
      </w:r>
    </w:p>
    <w:p>
      <w:r>
        <w:rPr>
          <w:b/>
        </w:rPr>
        <w:t>E. 1</w:t>
      </w:r>
    </w:p>
    <w:p>
      <w:r>
        <w:t>Ob die Prozessvoraussetzungen vorliegen und auf eine Beschwerde einzutreten ist, hat das Bundesverwaltungsgericht von Amtes wegen und mit freier Kognition zu prüfen.</w:t>
      </w:r>
    </w:p>
    <w:p>
      <w:r>
        <w:rPr>
          <w:b/>
        </w:rPr>
        <w:t>E. 1.1</w:t>
      </w:r>
    </w:p>
    <w:p>
      <w:r>
        <w:t>Die vorliegende Beschwerde richtet sich gegen den Beschwerdeentscheid der Vorinstanz vom 7./10. September 2012. Dabei handelt es sich um eine Verfügung im Sinne von Art. 5 Abs. 2 des Verwaltungsverfahrensgesetzes vom 20. Dezember 1968 (VwVG, SR 172.021).</w:t>
      </w:r>
    </w:p>
    <w:p>
      <w:r>
        <w:rPr>
          <w:b/>
        </w:rPr>
        <w:t>E. 1.2</w:t>
      </w:r>
    </w:p>
    <w:p>
      <w:r>
        <w:t>Das Bundesverwaltungsgericht beurteilt unter anderem Beschwerden gegen Verfügungen letzter kantonaler Instanzen, soweit ein Bundesgesetz dies entsprechend vorsieht (vgl. Art. 31 i.V.m. Art. 33 Bst. i des Verwaltungsgerichtsgesetzes vom 17. Juni 2005 [VGG, SR 173.32]). Das Landwirtschaftsgesetz sieht eine entsprechende Anfechtungsmöglichkeit vor gegen Entscheide letzter kantonaler Instanzen, die in Anwendung des Landwirtschaftsgesetzes und seiner Ausführungsbestimmungen ergangen sind (vgl. Art. 166 Abs. 2 des Landwirtschaftsgesetzes vom 29. April 1998 [LwG, SR 910.1]). Ausgenommen sind lediglich kantonale Verfügungen über Strukturverbesserungen, die mit Beiträgen unterstützt werden. Die Vorinstanz ist die letzte kantonale Instanz (vgl. § 54 Abs. 1 des Verwaltungsrechtspflegegesetzes des Kantons Thurgau vom 23. Februar 1981 [RB-Nr. 170.1]). Mit dem im vorliegenden Fall angefochtenen Beschwerdeentscheid wurde der Rekurs des Beschwerdeführers gegen die Verfügung der Erstinstanz abgewiesen. In jener Verfügung hatte die Erstinstanz entschieden, eine Ausnahme vom Zerstückelungsverbot gemäss Art. 102 Abs. 3 LwG werde nicht bewilligt. Der angefochtene Beschwerdeentscheid erging somit in Anwendung des Landwirtschaftsgesetzes und hat keine Subventionierung einer Strukturverbesserung zum Gegenstand. Das Bundesverwaltungsgericht ist daher zur Behandlung der vorliegenden Beschwerde zuständig.</w:t>
      </w:r>
    </w:p>
    <w:p>
      <w:r>
        <w:rPr>
          <w:b/>
        </w:rPr>
        <w:t>E. 1.3</w:t>
      </w:r>
    </w:p>
    <w:p>
      <w:r>
        <w:t>Der Beschwerdeführer ist als Adressat des angefochtenen Beschwerdeentscheids durch diesen berührt und hat ein schutzwürdiges Interesse an seiner Aufhebung oder Änderung (Art. 48 VwVG).</w:t>
      </w:r>
    </w:p>
    <w:p>
      <w:r>
        <w:rPr>
          <w:b/>
        </w:rPr>
        <w:t>E. 1.4</w:t>
      </w:r>
    </w:p>
    <w:p>
      <w:r>
        <w:t>Die Eingabefrist sowie die Anforderungen an Form und Inhalt der Beschwerdeschrift sind gewahrt (Art. 50 und 52 Abs. 1 VwVG), der Kostenvorschuss wurde fristgemäss bezahlt und die übrigen Sachurteilsvoraussetzungen liegen vor.</w:t>
      </w:r>
    </w:p>
    <w:p>
      <w:r>
        <w:rPr>
          <w:b/>
        </w:rPr>
        <w:t>E. 1.5</w:t>
      </w:r>
    </w:p>
    <w:p>
      <w:r>
        <w:t>Auf die Beschwerde ist daher einzutreten.</w:t>
      </w:r>
    </w:p>
    <w:p>
      <w:r>
        <w:rPr>
          <w:b/>
        </w:rPr>
        <w:t>E. 2</w:t>
      </w:r>
    </w:p>
    <w:p>
      <w:r>
        <w:t>Im vorinstanzlichen Verfahren warf die Erstinstanz die Frage auf, ob der Beschwerdeführer überhaupt legitimiert sei, ihre Verfügung anzufechten. Diesen Einwand erhebt sie im Verfahren vor dem Bundesverwaltungsgericht nicht mehr. Andererseits rügt die Beschwerdegegnerin im vorliegenden Verfahren, sie habe im Verfahren vor der Vorinstanz gar kein Gesuch um Erteilung einer Ausnahmebewilligung gestellt, vielmehr habe sie lediglich einen rekursfähigen Entscheid verlangt zur Frage, ob das Zerstückelungsverbot nach Art. 102 LwG im Zusammenhang mit der Ausübung des Vorkaufsrechts des Beschwerdeführers gelte oder nicht. Diese Vorbringen geben Anlass, die Verfahren vor den Vorinstanzen näher zu betrachten.</w:t>
      </w:r>
    </w:p>
    <w:p>
      <w:r>
        <w:rPr>
          <w:b/>
        </w:rPr>
        <w:t>E. 2.1</w:t>
      </w:r>
    </w:p>
    <w:p>
      <w:r>
        <w:t>Nach Art. 49 VwVG kann mit der Beschwerde ans Bundesverwaltungsgericht die Verletzung von Bundesrecht, einschliesslich Überschreitung oder Missbrauch des Ermessens (Bst. a) und unrichtige oder unvollständige Feststellung des rechtserheblichen Sachverhaltes (Bst. b) gerügt werden. Die Rüge der Unangemessenheit ist hingegen unzulässig, wenn eine kantonale Behörde als Beschwerdeinstanz verfügt hat (Bst. c). Im vorliegenden Fall richteten sich die Verfahren vor der Vorinstanz und vor der Erstinstanz nach kantonalem Recht. Ob dieses richtig angewandt wurde oder nicht, überprüft das Bundesverwaltungsgericht nicht, da seine Kognition, wie dargelegt, auf allfällige Verletzungen von Bundesrecht beschränkt ist. Es prüft in verfahrensmässiger Hinsicht lediglich - aber immerhin - ob kantonales Verfahrensrecht in einer Art und Weise angewandt wurde, dass dadurch verfassungsmässige Verfahrensgarantien des Beschwerdeführers verletzt oder materielles Bundesrecht vereitelt worden wären.</w:t>
      </w:r>
    </w:p>
    <w:p>
      <w:r>
        <w:rPr>
          <w:b/>
        </w:rPr>
        <w:t>E. 2.2</w:t>
      </w:r>
    </w:p>
    <w:p>
      <w:r>
        <w:t>Am 12. Mai 2011 ersuchte die Beschwerdegegnerin die Erstinstanz um einen rekursfähigen Entscheid zur Frage, ob im Zusammenhang mit der Ausübung des Vorkaufrechts des Pächters am Grundstück Nr. (...) das Zerstückelungsverbot nach Art. 102 LwG gelte oder nicht. Bei diesem Gesuch handelte es sich um ein Feststellungsbegehren; die Beschwerdegegnerin benötigte eine entsprechende Feststellung, wie aus ihrem Gesuch klar hervorgeht, um sie als Vorentscheid der fachlich zuständigen Behörde im Zivilstreit mit dem Beschwerdeführer über das Pächtervorkaufsrecht zu verwenden. Für diesen Zweck wäre es allerdings unabdingbar gewesen, dass die Erstinstanz den Beschwerdeführer in das Verfahren einbezogen hätte, erstreckt sich die Rechtskraftwirkung einer Verfügung doch ausschliesslich auf die Parteien des Verfahrens und allfällige Beigeladene ("res iudicata ius facit nisi inter partes"; vgl. Fritz Gygi, Bundesverwaltungsrechtspflege, 2. Aufl., Bern 1983, S. 323). Richtigerweise hätte der Beschwerdeführer daher bereits in das erstinstanzliche Verfahren einbezogen und rechtliches Gehör erhalten müssen (vgl. Art. 29 der Bundesverfassung der Schweizerischen Eidgenossenschaft vom 18. April 1999 [BV, SR 101]). Dies gilt umso mehr, als die Beschwerdegegnerin, wie sie zu Recht präzisiert, vor der Erstinstanz eigentlich kein Gesuch um eine Ausnahmebewilligung gestellt hatte. Die Feststellungsverfügung, wie sie sie von der Erstinstanz beantragte, beinhaltete indessen notwendigerweise auch eine Aussage darüber, ob die Voraussetzungen für eine Ausnahmebewilligung gegeben seien oder nicht bzw. ob die Erstinstanz in dieser Situation eine Ausnahme bewilligen würde. Interessiert an einer derartigen Ausnahmebewilligung war aber naturgemäss nur der Beschwerdeführer, nicht die Beschwerdegegnerin. Bevor die Erstinstanz im Rahmen der bei ihr beantragten Feststellungsverfügung über diese Frage entscheiden durfte, hätte sie daher unbedingt auch dem Beschwerdeführer Gelegenheit geben müssen, seine Argumente für die Gewährung einer Ausnahmebewilligung in das Verfahren einzubringen.</w:t>
      </w:r>
    </w:p>
    <w:p>
      <w:r>
        <w:rPr>
          <w:b/>
        </w:rPr>
        <w:t>E. 2.3</w:t>
      </w:r>
    </w:p>
    <w:p>
      <w:r>
        <w:t>Dass dem Beschwerdeführer zu Unrecht im erstinstanzlichen Verfahren keine Parteistellung gewährt wurde, darf natürlich nicht dazu führen, dass ihm die Beschwerdelegitimation vor der Rechtsmittelinstanz und damit die gerichtliche Beurteilung der ihn direkt betreffenden Verfügung (vgl. Art. 29a BV) verweigert würde. Das hat die Vorinstanz denn auch zu Recht nicht getan.</w:t>
      </w:r>
    </w:p>
    <w:p>
      <w:r>
        <w:rPr>
          <w:b/>
        </w:rPr>
        <w:t>E. 2.4</w:t>
      </w:r>
    </w:p>
    <w:p>
      <w:r>
        <w:t>Eine andere Frage ist, ob die Verletzung des Anspruchs des Beschwerdeführers auf rechtliches Gehör im erstinstanzlichen Verfahren in der im vorliegenden Fall erfolgten Weise im Beschwerdeverfahren geheilt werden konnte. Wie sich aus den Akten ergibt, liess sich die Erstinstanz nämlich bereits vernehmen, bevor der Beschwerdeführer seinen Rekurs begründet hatte. Sie machte dabei geltend, sie kenne die Argumente des Beschwerdeführers. Woher sie diese kennen sollte, ist aufgrund der Akten aber nicht nachvollziehbar. In der Folge verzichtete die Erstinstanz auf eine Duplik, nachdem der Beschwerdeführer seine Beschwerde begründet hatte. Ob die Vorinstanz unter diesen Umständen zulässigerweise davon ausgehen durfte, die Verletzung des Anspruchs des Beschwerdeführers auf rechtliches Gehör sei geheilt, ist fraglich, andererseits hat der Beschwerdeführer dies nicht konkret gerügt. Die Frage kann im vorliegenden Fall aber letztlich ohnehin offen gelassen werden.</w:t>
      </w:r>
    </w:p>
    <w:p>
      <w:r>
        <w:rPr>
          <w:b/>
        </w:rPr>
        <w:t>E. 3</w:t>
      </w:r>
    </w:p>
    <w:p>
      <w:r>
        <w:t>Der Beschwerdeführer rügt, die Vorinstanzen seien zu Unrecht davon ausgegangen, dass das Zerstückelungsverbot gemäss Art. 102 Abs. 1 LwG vor dem Pächtervorkaufsrecht den Vorrang beanspruche. Der Konflikt zwischen dem Zerstückelungsverbot und dem Pächtervorkaufsrecht sei im Rahmen einer umfassenden Interessenabwägung für den vorliegenden Einzelfall zu lösen. Es sei unbestritten, dass keiner der in der Verordnung genannten Ausnahmetatbestände erfüllt sei. Diese Aufzählung sei allerdings nicht abschliessend. Ausnahmebestimmungen wie die in Frage stehende dienten dazu, bei unbefriedigenden Ergebnissen Härtefälle zu vermeiden und aus Billigkeitsgründen von der geltenden Ordnung abzuweichen. Aufgrund der im angefochtenen Entscheid zitierten Gesetzesmaterialien sei nicht auszuschliessen, dass das Zerstückelungsverbot dem Pächtervorkaufsrecht im Grundsatz vorgehe. Es sei aber nicht sicher, ob dieser Vorrang für sämtliche denkbaren Konstellationen gelte. In analoger Anwendung von Art. 60 Abs. 2 Bst. b und c des Bundesgesetzes über das bäuerliche Bodenrecht vom 4. Oktober 1991 (BGBB, SR 211.412.11) müssten Ausnahmen vom Zerstückelungsverbot bewilligt werden können, beispielsweise, wenn die Zerstückelung dazu diene, andere landwirtschaftliche Gewerbe strukturell zu verbessern. Eine Ausnahme müsse auch zugelassen werden, wenn der Pachtgegenstand zu einem seit mehr als sechs Jahren parzellenweise verpachteten Gewerbe gehöre. Der Beschwerdeführer sei auf die Pachtflächen angewiesen; sie befänden sich in unmittelbarer Nähe zu seinem Gewerbe und machten rund 15 % der Gesamtfläche seines Gewerbes aus. Auf der anderen Seite bestehe kein besonderes oder überwiegendes Interesse an einer Erhaltung der Parzelle. Sie sei seit über 10 Jahren parzellenweise verpachtet worden und solle nun von einer Person erworben werden, welche weder vorkaufs- noch zuweisungsberechtigt sei und bereits über ein eigenes existenzsicherndes landwirtschaftliches Gewerbe verfüge. Auch liege die Güterzusammenlegung L._______, in deren Rahmen die Parzelle geschaffen worden sei, schon mehr als 25 Jahre zurück. Zumindest mit Blick auf die geleisteten Bundesbeiträge könne daher kein überwiegendes öffentliches Interesse an der Aufrechterhaltung des Zerstückelungsverbotes mehr bestehen. Im Ergebnis überwiege das Interesse des Beschwerdeführers, weshalb eine Ausnahme vom Zerstückelungsverbot zu bewilligen sei.</w:t>
      </w:r>
    </w:p>
    <w:p>
      <w:r>
        <w:rPr>
          <w:b/>
        </w:rPr>
        <w:t>E. 3.1</w:t>
      </w:r>
    </w:p>
    <w:p>
      <w:r>
        <w:t>Wird ein landwirtschaftliches Grundstück veräussert, so hat der Pächter am Pachtgegenstand ein Vorkaufsrecht, wenn die gesetzliche Mindestpachtdauer abgelaufen ist und er Eigentümer eines landwirtschaftlichen Gewerbes ist oder wirtschaftlich über ein solches verfügt und das gepachtete Grundstück im ortsüblichen Bewirtschaftungsbereich dieses Gewerbes liegt (vgl. Art. 47 Abs. 2 BGBB). Im vorliegenden Fall ist offenbar unbestritten, dass diese Voraussetzungen gegeben sind.</w:t>
      </w:r>
    </w:p>
    <w:p>
      <w:r>
        <w:rPr>
          <w:b/>
        </w:rPr>
        <w:t>E. 3.2</w:t>
      </w:r>
    </w:p>
    <w:p>
      <w:r>
        <w:t>Grundstücke, Werke und Anlagen sowie landwirtschaftliche Gebäude, die mit Bundesbeiträgen verbessert worden sind, dürfen während 20 Jahren nach der Schlusszahlung des Bundesbeitrages ihrem landwirtschaftlichen Zweck nicht entfremdet werden, zudem darf Boden, welcher Gegenstand einer Güterzusammenlegung war, nicht zerstückelt werden (Art. 102 Abs. 1 LwG). Der Kanton kann Ausnahmen vom Zweckentfremdungs- und Zerstückelungsverbot bewilligen, wenn wichtige Gründe vorliegen. Er entscheidet, ob die geleisteten Beiträge ganz oder teilweise zurückzuerstatten sind oder ob auf eine Rückerstattung verzichtet wird (Art. 102 Abs. 3 LwG). Gestützt auf seine allgemeine Zuständigkeit zum Erlass der erforderlichen Ausführungsbestimmungen (vgl. Art. 177 Abs. 1 LwG) erliess der Bundesrat die Strukturverbesserungsverordnung vom 7. Dezember 1998 (SVV, SR 913.1). Diese sieht vor, dass insbesondere rechtskräftige Einzonungen in Bauzonen, Schutzzonen oder andere nichtlandwirtschaftliche Nutzungszonen, rechtskräftige Baubewilligungen nach dem Raum-planungsgesetz, fehlender landwirtschaftlicher Bedarf für die Wiederherstellung von Bauten und Anlagen, welche durch Feuer oder Naturereignisse zerstört worden sind, der Bedarf für Bauten des Bundes, für Bundesbahnen oder für Nationalstrassen sowie agrarpolitisch erwünschte Produktionsumstellungen, sofern die Schlusszahlung mindestens 10 Jahre zurückliegt, als wichtige Gründe für die Bewilligung von Zweckentfremdungen und Zerstückelungen gelten (vgl. Art. 36 SVV).</w:t>
      </w:r>
    </w:p>
    <w:p>
      <w:r>
        <w:rPr>
          <w:b/>
        </w:rPr>
        <w:t>E. 3.3</w:t>
      </w:r>
    </w:p>
    <w:p>
      <w:r>
        <w:t>Das Pächtervorkaufsrecht, um das es im vorliegenden Fall geht, wurde mit der Änderung des Einleitungssatzes von Art. 47 Abs. 2 BGBB vom 20. Juni 2003 eingeführt. In der Botschaft begründete der Bundesrat die Änderung damit, dass in Fällen, in welchen der Eigentümer ein landwirtschaftliches Grundstück verkaufe, das er verpachtet habe, sich der Gegenstand des Kaufvertrags nicht notwendigerweise mit dem Pachtgegenstand decke. So könne ein Eigentümer beispielsweise sein Grundstück nur teilweise einem oder mehreren Pächtern verpachten und den Rest für die eigene Nutzung zurückbehalten. Indem im Gesetz festgehalten werde, dass dem Pächter ein Vorkaufsrecht am Pachtgegenstand zustehe, werde zum Ausdruck gebracht, dass ein Vorkaufsrecht des Pächters an einem Grundstück auch dann bestehe, wenn Pachtgegenstand und Kaufobjekt nicht übereinstimmten (vgl. Botschaft des Bundesrats vom 29. Mai 2002 zur Weiterentwicklung der Agrarpolitik [Agrarpolitik 2007] [nachfolgend: Botschaft Agrarpolitik 2007], BBl 2002 4938). Wie die Vorinstanz in der Begründung des angefochtenen Entscheids zutreffend darlegte, war bereits damals erkannt worden, dass diese Regelung zu einem Zielkonflikt mit dem Zerstückelungsverbot führen kann. Die Frage wurde denn auch in der Botschaft ausdrücklich thematisiert. So führte der Bundesrat aus, dass die Ausübung des Vorkaufsrechts an einem Teil einer Parzelle bedinge, dass diese vorerst der Nutzungsgrenze entsprechend aufgeteilt werden müsse, dass eine solche Aufteilung indes dann ausgeschlossen sei, wenn dadurch das Zerstückelungsverbot von Art. 58 Abs. 2 BGBB verletzt werde oder wenn ihr ein Zerstückelungsverbot nach Art. 102 LwG entgegenstehe (vgl. Botschaft Agrarpolitik 2007, BBl 2002 4938). Diese Frage gab in den parlamentarischen Beratungen des National- und Ständerats keinen Anlass zur Diskussion (vgl. Amtliches Bulletin Ständerat, 11. Dezember 2012 und 5. Juni 2005; Amtliches Bulletin Nationalrat, 7. Mai 2003 und 12. Juni 2003). In historischer Hinsicht ist daher klar, wie der Zielkonflikt zwischen dem Zerstückelungsverbot und dem Pächtervorkaufsrecht zu lösen ist.</w:t>
      </w:r>
    </w:p>
    <w:p>
      <w:r>
        <w:rPr>
          <w:b/>
        </w:rPr>
        <w:t>E. 3.4</w:t>
      </w:r>
    </w:p>
    <w:p>
      <w:r>
        <w:t>Argumente, warum dieser Zielkonflikt nach der systematischen oder nach der teleologischen Auslegungsmethode anders zu lösen sein sollte, wurden vom Beschwerdeführer nicht geltend gemacht und sind auch nicht ersichtlich. Das Pächtervorkaufsrecht gemäss Art. 47 Abs. 2 BGBB ist eine zivilrechtliche Beschränkung der Verfügungsfreiheit des Grundeigentümers im Hinblick darauf, wem er das in Frage stehende Grundstück bzw. das verpachtete Landstück verkaufen darf. Das Zerstückelungsverbot von Art. 102 LwG dagegen ist eine öffentlich-rechtliche Verfügungsbeschränkung, welche dem Grundeigentümer daran hindert, von dem fraglichen Grundstück Teile abzuparzellieren. Es kann daher logisch nicht sein, dass die zivilrechtliche Verfügungsbeschränkung dazu führt, dass diese Abparzellierung ermöglicht und damit die Verfügungsmöglichkeit des Grundeigentümers in dieser Hinsicht erweitert wird.</w:t>
      </w:r>
    </w:p>
    <w:p>
      <w:r>
        <w:rPr>
          <w:b/>
        </w:rPr>
        <w:t>E. 3.5</w:t>
      </w:r>
    </w:p>
    <w:p>
      <w:r>
        <w:t>Als Zwischenergebnis ist daher davon auszugehen, dass die Vorinstanz zu Recht davon ausgegangen ist, dass das Zerstückelungsverbot gemäss Art. 102 LwG dem Pächtervorkaufsrecht grundsätzlich vorgeht.</w:t>
      </w:r>
    </w:p>
    <w:p>
      <w:r>
        <w:rPr>
          <w:b/>
        </w:rPr>
        <w:t>E. 4</w:t>
      </w:r>
    </w:p>
    <w:p>
      <w:r>
        <w:t>Der Beschwerdeführer rügt, selbst wenn das Pächtervorkaufsrecht nicht grundsätzlich den Vorrang beanspruchen kann, sei doch jeweils im Einzelfall zu prüfen, ob nicht die konkreten Umstände ein anderes Ergebnis bzw. die Erteilung einer Ausnahmebewilligung rechtfertigten.</w:t>
      </w:r>
    </w:p>
    <w:p>
      <w:r>
        <w:rPr>
          <w:b/>
        </w:rPr>
        <w:t>E. 4.1</w:t>
      </w:r>
    </w:p>
    <w:p>
      <w:r>
        <w:t>Art. 102 Abs. 3 LwG sieht vor, dass der Kanton Ausnahmen vom Zweckentfremdungs- und Zerstückelungsverbot bewilligen kann, wenn wichtige Gründe vorliegen. Art. 36 SVV sieht dazu eine nicht abschliessende Liste von Tatbeständen vor, die als wichtige Gründe in diesem Sinn gelten. Soweit einer dieser Gründe gegeben ist, besteht ein Rechtsanspruch auf eine Ausnahmebewilligung; darüber hinaus begründet die "Kann-Vorschrift" indessen einen Ermessensspielraum der zuständigen kantonalen Bewilligungsbehörde.</w:t>
      </w:r>
    </w:p>
    <w:p>
      <w:r>
        <w:rPr>
          <w:b/>
        </w:rPr>
        <w:t>E. 4.2</w:t>
      </w:r>
    </w:p>
    <w:p>
      <w:r>
        <w:t>Wie bereits dargelegt, ist die Rüge der Unangemessenheit vor dem Bundesverwaltungsgericht nicht zulässig, wenn - wie im vorliegenden Fall - eine kantonale Rechtsmittelinstanz als Vorinstanz entschieden hat. Die Argumente des Beschwerdeführers, warum die Erstinstanz in seinem Fall zu Unrecht keine Ausnahme bewilligt habe, können daher nicht gehört werden, soweit er lediglich rügt, unter den konkreten Umständen des Einzelfalles wäre die Erteilung einer Bewilligung angemessener gewesen. Geprüft werden kann lediglich, ob die Erstinstanz das ihr zustehende Ermessen rechtsungleich, willkürlich oder in anderer Weise rechtswidrig gehandhabt hat.</w:t>
      </w:r>
    </w:p>
    <w:p>
      <w:r>
        <w:rPr>
          <w:b/>
        </w:rPr>
        <w:t>E. 4.3</w:t>
      </w:r>
    </w:p>
    <w:p>
      <w:r>
        <w:t>Unbestritten ist diesbezüglich, dass keine der in Art. 36 SVV genannten Voraussetzungen gegeben sind. Auch macht der Beschwerdeführer nicht geltend, die Erstinstanz habe entgegen ihrer üblichen Praxis und damit rechtsungleich entschieden.</w:t>
      </w:r>
    </w:p>
    <w:p>
      <w:r>
        <w:rPr>
          <w:b/>
        </w:rPr>
        <w:t>E. 4.4</w:t>
      </w:r>
    </w:p>
    <w:p>
      <w:r>
        <w:t>Mit seinem Argument, die Güterzusammenlegung L._______, in deren Rahmen die Parzelle geschaffen worden sei, liege schon mehr als 25 Jahre zurück, weshalb mit Blick auf die geleisteten Bundesbeiträge kein überwiegendes öffentliches Interesse an der Aufrechterhaltung des Zerstückelungsverbotes mehr bestehe, spricht der Beschwerdeführer indessen sinngemäss die Frage der zeitlichen Geltung des Zerstückelungsverbots im konkreten Einzelfall an. Die Vorinstanzen und die Beschwerdegegnerin vertreten diesbezüglich die Rechtsauffassung, die in Art. 102 Abs. 1 LwG genannte Frist von 20 Jahren beziehe sich lediglich auf das Zweckentfremdungsverbot; das Zerstückelungsverbot dagegen gelte unbefristet.</w:t>
      </w:r>
    </w:p>
    <w:p>
      <w:r>
        <w:rPr>
          <w:b/>
        </w:rPr>
        <w:t>E. 4.4.1</w:t>
      </w:r>
    </w:p>
    <w:p>
      <w:r>
        <w:t>Der Wortlaut von Art. 102 Abs. 1 LwG ("Grundstücke, Werke und Anlagen sowie landwirtschaftliche Gebäude, die mit Bundesbeiträgen verbessert worden sind, dürfen während 20 Jahren nach der Schlusszahlung des Bundesbeitrages ihrem landwirtschaftlichen Zweck nicht entfremdet werden, zudem darf Boden, welcher Gegenstand einer Güterzusammenlegung war, nicht zerstückelt werden") ist bezüglich dieser Frage nicht ganz eindeutig. Einerseits enthält die Passage bezüglich des Zerstückelungsverbots keinen ausdrücklichen Hinweis auf eine bestimmte Dauer, andererseits impliziert das Komma einen inneren Zusammenhang zwischen den beiden Satzteilen.</w:t>
      </w:r>
    </w:p>
    <w:p>
      <w:r>
        <w:rPr>
          <w:b/>
        </w:rPr>
        <w:t>E. 4.4.2</w:t>
      </w:r>
    </w:p>
    <w:p>
      <w:r>
        <w:t>In der Strukturverbesserungsverordnung wurde diese Formulierung abgeändert, indem die Passage bezüglich des Zerstückelungsverbots aus diesem Zusammenhang gerissen und als eigenständiger Absatz aufgeführt wird: "Boden, welcher Gegenstand einer Güterzusammenlegung war, darf nicht zerstückelt werden. Das Verbot der Zweckentfremdung gilt ab der Zusicherung eines Bundesbeitrages, das Zerstückelungsverbot ab dem Erwerb des Eigentums an den neuen Grundstücken. Das Verbot der Zweckentfremdung und die Rückerstattungspflicht enden 20 Jahre nach der Schlusszahlung des Bundes." (Art. 35 Abs. 3 ff. SVV). Dieser Wortlaut impliziert nun tatsächlich, dass die Frist von 20 Jahren nur für das Zweckentfremdungsverbot und die Rückerstattungspflicht gilt, während das Zerstückelungsverbot unbefristet ist. Diese Auffassung wird denn auch in einschlägigen Wegleitungen und Weisungen vertreten (vgl. Schweizerische Vereinigung für ländliche Entwicklung suissemelio, Wegleitung zur Rückforderung von Betriebshilfedarlehen und Investitionshilfen, Ausgabe 2008, Ziff. 1.2.2; Weisungen und Erläuterungen des Bundesamts für Landwirtschaft BLW vom 1. Januar 2009 zur Verordnung über die Strukturverbesserungen in der Landwirtschaft, S. 46). In systematischer Hinsicht ist allerdings zu berücksichtigen, dass es sich beim Zerstückelungsverbot um eine Einschränkung der Eigentumsgarantie (Art. 26 BV) handelt. Für einen derartigen, relativ schweren Eingriff in das Eigentum ist eine Grundlage in einem Gesetz im formellen Sinn erforderlich (Art. 36 Abs. 1 Satz 2 BV). Bei dieser Frage handelt es sich auch nicht um eine Ausführungsvorschrift, bezüglich derer der Verordnungsgeber oder gar das Bundesamt sich auf eine Delegationsnorm stützen könnten. Massgeblich kann daher allein die Formulierung im Gesetzestext, nicht diejenige in der Strukturverbesserungsverordnung oder in allfälligen Weisungen oder Wegleitungen sein.</w:t>
      </w:r>
    </w:p>
    <w:p>
      <w:r>
        <w:rPr>
          <w:b/>
        </w:rPr>
        <w:t>E. 4.4.3</w:t>
      </w:r>
    </w:p>
    <w:p>
      <w:r>
        <w:t>In historischer Hinsicht ergibt sich aus der Botschaft zum alten Landwirtschaftsgesetz von 1951 nicht, dass das Zerstückelungsverbot befristet sei (vgl. Botschaft des Bundesrats vom 19. Januar 1951 zum Entwurf eines Bundesgesetzes über die Förderung der Landwirtschaft und die Erhaltung des Bauernstandes [nachfolgend: Botschaft LwG 1951], BBl 1951 I 238). In der Botschaft zum neuen Landwirtschaftsgesetz wird hingegen klar ausgeführt, dass aus Gründen der Praktikabilität die Dauer des Zweckentfremdungs- und des Zerstückelungsverbots auf 20 Jahre nach der Schlusszahlung des Bundesbeitrages beschränkt werde (vgl. Botschaft des Bundesrats vom 26. Juni 1996 zur Reform der Agrarpolitik: Zweite Etappe [Agrarpolitik 2002] [nachfolgend: Botschaft Agrarpolitik 2002], BBl 1996 IV 249).</w:t>
      </w:r>
    </w:p>
    <w:p>
      <w:r>
        <w:rPr>
          <w:b/>
        </w:rPr>
        <w:t>E. 4.4.4</w:t>
      </w:r>
    </w:p>
    <w:p>
      <w:r>
        <w:t>Auch in der Literatur wird die Auffassung vertreten, dass die Dauer des Zerstückelungsverbots auf 20 Jahre beschränkt sei (vgl. Margret Herrenschwander/Christoph Bandli, in: Büsser et al. [Hrsg.], Das bäuerliche Bodenrecht: Kommentar zum Bundesgesetz über das bäuerliche Bodenrecht vom 4. Oktober 1991, 2. Aufl., Brugg 2011, N. 6 zu Art. 58 BGBB).</w:t>
      </w:r>
    </w:p>
    <w:p>
      <w:r>
        <w:rPr>
          <w:b/>
        </w:rPr>
        <w:t>E. 4.4.5</w:t>
      </w:r>
    </w:p>
    <w:p>
      <w:r>
        <w:t>Wie bereits dargelegt, handelt es sich beim Zerstückelungsverbot um eine Einschränkung der Eigentumsgarantie, welche daher nicht nur eine Grundlage in einem Gesetz im formellen Sinn erfordert, sondern auch einen diesbezüglich unzweideutigen Wortlaut. Zudem muss die Einschränkung durch ein öffentliches Interesse gerechtfertigt und verhältnismässig sein (vgl. statt vieler: BGE 130 I 360 E. 1.2). Das Zerstückelungsverbot dient, genau wie das Zweckentfremdungsverbot, der langfristigen Sicherung der vom Bund mit Beiträgen geförderten Bodenverbesserungen. Die Ergebnisse der Güterzusammenlegung sollen der landwirtschaftlichen Nutzung erhalten bleiben (vgl. Botschaft LwG 1951, BBl 1951 I 238; Botschaft Agrarpolitik 2002, BBl 1996 IV 248). Es besteht insofern eine enge Verbindung zwischen dem Zweckentfremdungs- und dem Zerstückelungsverbot, wobei ersteres für den Sicherungszweck wesentlich wichtiger ist. Dem Zerstückelungsverbot kommt im Vergleich nur sekundäre Bedeutung zu, denn aus Sicht der landwirtschaftlichen Zweckbestimmung der Strukturverbesserung würde es wenig Sinn machen, die Zerstückelung eines Grundstücks zu untersagen, für welches das Zweckentfremdungsverbot nach Ablauf der 20 Jahre dahin gefallen ist und das daher beispielsweise überbaut oder zur Kiesausbeutung verwendet wird. Eine unbefristete Gültigkeit des Zerstückelungsverbots erschiene daher, angesichts der Schwere des Eingriffs ins Eigentumsrecht einerseits und dem beabsichtigten Sicherungszweck andererseits, sowie im Vergleich zur 20-jährigen Dauer des Zweckentfremdungsverbots, als offensichtlich unverhältnismässig.</w:t>
      </w:r>
    </w:p>
    <w:p>
      <w:r>
        <w:rPr>
          <w:b/>
        </w:rPr>
        <w:t>E. 4.4.6</w:t>
      </w:r>
    </w:p>
    <w:p>
      <w:r>
        <w:t>Aus den dargelegten Gründen ergibt sich somit, dass bei der Auslegung des Wortlauts von Art. 102 Abs. 1 LwG der Auffassung zuzustimmen ist, wonach die Dauer von 20 Jahren auch für das Zerstückelungsverbot gilt.</w:t>
      </w:r>
    </w:p>
    <w:p>
      <w:r>
        <w:rPr>
          <w:b/>
        </w:rPr>
        <w:t>E. 4.5</w:t>
      </w:r>
    </w:p>
    <w:p>
      <w:r>
        <w:t>Im vorliegenden Fall ist zwar unter den Parteien unbestritten, dass die Güterzusammenlegung L._______ im Jahr 1987 "abgeschlossen" wurde, weshalb die Dauer von 20 Jahren im Jahr 2010 höchstwahrscheinlich bereits abgelaufen war. Wann genau die relevante Schlusszahlung des Bundes erfolgte, geht indessen aus den Akten nicht hervor. Da das Zerstückelungsverbot gemäss Art. 102 LwG im öffentlichen Interesse steht und die Parteien nicht darüber disponieren können, ist die Sache daher an die Erstinstanz zurückzuweisen, damit sie den rechtserheblichen Sachverhalt in diesem Punkt abkläre und alsdann erneut darüber entscheide, ob das Zerstückelungsverbot im vorliegenden Fall noch gilt und dem Pächtervorkaufsrecht entgegen steht oder nicht.</w:t>
      </w:r>
    </w:p>
    <w:p>
      <w:r>
        <w:rPr>
          <w:b/>
        </w:rPr>
        <w:t>E. 5</w:t>
      </w:r>
    </w:p>
    <w:p>
      <w:r>
        <w:t>Die Beschwerde ist daher teilweise gutzuheissen, der angefochtene Beschwerdeentscheid sowie die Verfügung der Erstinstanz sind aufzuheben und die Sache ist an die Erstinstanz zurückzuweisen, damit sie abkläre, wann die relevante Schlusszahlung des Bundes im Rahmen der Güterzusammenlegung L._______ erfolgte und anschliessend, unter Berücksichtigung, dass das Zerstückelungsverbot gemäss Art. 102 LwG 20 Jahre nach dieser Schlusszahlung abgelaufen ist, erneut über die Frage verfüge, ob das Zerstückelungsverbot im vorliegenden Fall noch gilt und dem Pächtervorkaufsrecht entgegen steht oder nicht.</w:t>
      </w:r>
    </w:p>
    <w:p>
      <w:r>
        <w:rPr>
          <w:b/>
        </w:rPr>
        <w:t>E. 6</w:t>
      </w:r>
    </w:p>
    <w:p>
      <w:r>
        <w:t>Bei diesem Verfahrensausgang gilt der Beschwerdeführer als überwiegend obsiegend. Die Verfahrenskosten sind daher der Beschwerdegegnerin als überwiegend unterliegender Partei aufzuerlegen (Art. 63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Im vorliegenden Fall ist davon auszugehen, dass es sich um eine Streitigkeit mit Vermögensinteresse handelt, doch ist der Streitwert nicht klar zu beziffern. Die Gerichtsgebühr ist daher auf Fr. 1'000.- festzulegen.</w:t>
      </w:r>
    </w:p>
    <w:p>
      <w:r>
        <w:rPr>
          <w:b/>
        </w:rPr>
        <w:t>E. 7</w:t>
      </w:r>
    </w:p>
    <w:p>
      <w:r>
        <w:t>Die Parteientschädigung umfasst die Kosten der Vertretung sowie allfällige weitere notwendige Auslagen der Partei (Art. 8 VGKE). Der Beschwerdeführer war im Verfahren vor dem Bundesverwaltungsgericht anwaltlich vertreten, hat indessen keine Kostennote eingereicht, weshalb die ihm zuzusprechende Parteientschädigung aufgrund der Akten auf Fr. 1'000.- festzusetzen ist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