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B-5168/2013 vom 9. Dezember 2013</w:t>
      </w:r>
    </w:p>
    <w:p>
      <w:r>
        <w:t>Bundesverwaltungsgericht, 2013-12-09, DE</w:t>
      </w:r>
    </w:p>
    <w:p>
      <w:r>
        <w:rPr>
          <w:b/>
        </w:rPr>
        <w:t xml:space="preserve">Quelle: </w:t>
      </w:r>
      <w:r>
        <w:t>https://mcp.opencaselaw.ch/entscheid/bvger_B-5168_2013</w:t>
      </w:r>
    </w:p>
    <w:p>
      <w:r>
        <w:t>FR: TAF B-5168/2013 du 9 décembre 2013</w:t>
      </w:r>
    </w:p>
    <w:p>
      <w:r>
        <w:t>IT: TAF B-5168/2013 del 9 dicembre 2013</w:t>
      </w:r>
    </w:p>
    <w:p>
      <w:pPr>
        <w:pStyle w:val="Heading2"/>
      </w:pPr>
      <w:r>
        <w:t>Regeste</w:t>
      </w:r>
    </w:p>
    <w:p>
      <w:r>
        <w:t>Erfindungspatente (Übriges)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vom 20. Dezember 1968 (VwVG, SR 172.021), sofern keine Ausnahme nach Art. 32 VGG vorliegt. Die Beschwerde ist u.a. nach Art. 33 Bst. e VGG zulässig gegen Verfügungen der Anstalten und Betriebe des Bundes. Beim angefochtenen Entscheid handelt es sich um eine Verfügung im Sinne von Art. 5 Abs. 1 Bst. c VwVG. Das Eidgenössische Institut für Geistiges Eigentum ist eine Vorinstanz des Bundesverwaltungsgerichts gemäss Art. 33 Bst. e VGG, weshalb das Bundesverwaltungsgericht zur Behandlung der Beschwerde zuständig ist.</w:t>
      </w:r>
    </w:p>
    <w:p>
      <w:r>
        <w:rPr>
          <w:b/>
        </w:rPr>
        <w:t>E. 1.2</w:t>
      </w:r>
    </w:p>
    <w:p>
      <w:r>
        <w:t>Der Beschwerdeführer hat am Verfahren vor der Vorinstanz teilgenommen und ist durch die angefochtene Verfügung besonders berührt. Er hat zudem ein schutzwürdiges Interesse an deren Aufhebung oder Änderung, weshalb er zur Beschwerde legitimiert ist (Art. 48 Abs. 1 VwVG). Eingabefrist und -form sind gewahrt (Art. 50 und 52 Abs. 1 VwVG), die Vertreterin hat sich rechtsgenüglich ausgewiesen (Art. 11 VwVG), der Kostenvorschuss wurde fristgemäss bezahlt (Art. 63 Abs. 4 VwVG), und die übrigen Sachurteilsvoraussetzungen liegen vor (Art. 46 ff. VwVG). Auf die Beschwerde ist daher einzutreten.</w:t>
      </w:r>
    </w:p>
    <w:p>
      <w:r>
        <w:rPr>
          <w:b/>
        </w:rPr>
        <w:t>E. 1.3</w:t>
      </w:r>
    </w:p>
    <w:p>
      <w:r>
        <w:t>Vorliegend ist eine Wiedererwägungsverfügung zu beurteilen. Ein gerichtlich durchsetzbarer Anspruch auf eine Wiedererwägung besteht nur bei einer veränderten Sachlage oder dem Vorliegen von Revisionsgründen (Art. 58 VwVG; BGE 124 II 6 E. 3a; René Rhinow/Heinrich Koller/Christina Kiss/Daniela Thurnherr/Denise Brühl-Moser, Öffentliches Prozessrecht, 2. Aufl., Basel 2010, Rz. 1307 ff.; vgl. August Mächler in Auer/Müller/Schindler [Hrsg.], Kommentar zum Bundesgesetz über das Verwaltungsverfahren [VwVG], Zürich 2008, Art. 58 Rz. 9).</w:t>
      </w:r>
    </w:p>
    <w:p>
      <w:r>
        <w:rPr>
          <w:b/>
        </w:rPr>
        <w:t>E. 1.4</w:t>
      </w:r>
    </w:p>
    <w:p>
      <w:r>
        <w:t>Bei abweisenden Wiederwägungsverfügungen, welche gleichwohl auf das Wiedererwägungsgesuch eingetreten sind, ist sich die Literatur, ausgehend von der sozialversicherungsrechtlichen Bundesgerichtspraxis zu dieser Frage im Rahmen von Art. 53 des Bundesgesetzes über den Allgemeinen Teil des Sozialversicherungsrechts (ATSG, SR 830.1), uneins, ob die Beschwerdemöglichkeiten eingeschränkt seien (BGE 117 V 13 E. 2a; BGE 116 V 63 E. 3a; vgl. Ueli Kieser, Das Verwaltungsverfahren im Sozialversicherungsrecht, Zürich 1999, Rz. 629; Gustavo Scartazzini/Marc Hürzeler, Bundessozialversicherungsrecht, 4. Aufl., Basel 2012 §17 Rz. 135 Fn. 158; Rhinow/Koller/Kiss/Thurn­herr/Brühl-Moser, a.a.O., Rz. 653 f.); kritisch Isabelle Häner in Alfred Kölz/Isabelle Häner/ Martin Bertschi, Verwaltungsverfahren und Verwaltungsrechtspflege des Bundes, 3. Aufl., Zürich 2013, Rz. 748, 756). Nachdem die Verfügung vom 4. Juli 2013 widerrufen und mit Verfügung vom 23. Juli 2013 im Vergleich zum ursprünglichen Entscheid unterschiedlich begründet worden ist, ist vorliegend von einer unbeschränkten Überprüfbarkeit der strittigen Eintretensfrage auszugehen.</w:t>
      </w:r>
    </w:p>
    <w:p>
      <w:r>
        <w:rPr>
          <w:b/>
        </w:rPr>
        <w:t>E. 1.5</w:t>
      </w:r>
    </w:p>
    <w:p>
      <w:r>
        <w:t>Damit ist aber nur noch die Verfügung vom 23. Juli 2013 und somit alleine der ursprüngliche Eventualantrag der Beschwerdeführerin auf Wiedereinsetzung in die Frist zur Einreichung des Weiterbehandlungsantrags zu prüfen, da die Beschwerdeführerin mit ihrem sinngemässen Wiedererwägungsbegehren zurecht nicht geltend gemacht hat, dass auch die ur­sprünglich im Hauptpunkt erheischte Wiedereinsetzung in die Zahlungsfrist erneut zu prüfen sei.</w:t>
      </w:r>
    </w:p>
    <w:p>
      <w:r>
        <w:rPr>
          <w:b/>
        </w:rPr>
        <w:t>E. 2.1</w:t>
      </w:r>
    </w:p>
    <w:p>
      <w:r>
        <w:t>Nach Art. 1 Abs. 1 des Patentgesetzes vom 25. Juni 1954 (PatG, SR 232.14) werden für neue gewerblich anwendbare Erfindungen Erfindungspatente erteilt. Das Patent verschafft seinem Inhaber das Recht, anderen zu verbieten, die Erfindung gewerbsmässig zu benützen (Art. 8 Abs. 1 PatG). Die Bestimmungen des PatG gelten nach Massgabe der Bestimmungen des fünften Titels auch für europäische Patentanmeldungen und europäische Patente, die für die Schweiz wirksam sind, soweit sich aus dem Europäischen Patentübereinkommen vom 5. Oktober 1973, revidiert in München am 29. November 2000 (EPÜ 2000; 0.232.142.2), nichts anderes ergibt (Art. 109 Abs. 1 und 2 PatG).</w:t>
      </w:r>
    </w:p>
    <w:p>
      <w:r>
        <w:rPr>
          <w:b/>
        </w:rPr>
        <w:t>E. 2.2</w:t>
      </w:r>
    </w:p>
    <w:p>
      <w:r>
        <w:t>Das Aufrechterhalten eines Patents setzt die Bezahlung der in der Verordnung über die Erfindungspatente vom 19. Oktober 1977 (Patentverordnung, PatV; SR 232.141) vorgesehenen Gebühren voraus (Art. 41 PatG). Werden diese nicht rechtzeitig entrichtet, erlischt das Patent (Art. 15 Abs. 1 Bst. b PatG). Die Jahresgebühren sind für jedes Patent ab Beginn des fünften Jahres nach der Anmeldung jährlich im Voraus zu bezahlen (Art. 18 Abs. 1 PatV). Sie werden jedes Jahr am letzten Tag des Monats fällig, in dem das Anmeldedatum liegt, und sind spätestens am letzten Tag des sechsten Monats ab der Fälligkeit zu zahlen, ansonsten ein Zuschlag zu entrichten ist (Art. 18 Abs. 2 und 3 PatV). Ein Patent, für das eine fällige Jahresgebühr nicht rechtzeitig bezahlt worden ist, wird im Register gelöscht und die Löschung dem Patentinhaber angezeigt (Art. 18b Abs. 1 und 2 PatV). Die Vorinstanz hat den Patentinhaber auf die Fälligkeit der Jahresgebühr und die Folgen der nicht rechtzeitigen Zahlung der Gebühr hinzuweisen, wobei auch die Mitteilung an Dritte, die regelmässig für den Patentinhaber Zahlungen leisten, verlangt werden kann. Ins Ausland werden keine Anzeigen versandt (Art. 18d PatV). Für das europäische Patent sind alljährlich im Voraus Jahresgebühren an das Institut zu zahlen, erstmals für das Patentjahr, welches dem Hinweis auf die Erteilung des europäischen Patentes im Europäischen Patentblatt folgt, frühestens jedoch ab Beginn des fünften Jahres nach der Anmeldung (Art. 118a PatV). 2.3 In Analogie zu Art. 20 Abs. 1 VwVG, der nur für nach Tagen zu berechnende Fristen gilt, sowie Art. 44 Abs. 1 des Bundesgesetzes über das Bundesgericht (Bundesgerichtsgesetz [BGG], SR. 173.110) beginnen behördliche Fristen an dem auf die Mitteilung oder das Ereignis folgenden Tag zu laufen. Für die Berechnung gesetzlich festgelegter Fristen des Verwaltungsrechts, die in Monaten ausgedrückt werden, gelten das Europäische Übereinkommen über die Berechnung von Fristen (Art. 1 Abs. 1 Bst. a Fristberechnungsabkommen, SR 0.221.122.3) sowie Art. 77 des Bundesgesetzes betreffend die Ergänzung des Schweizerischen Zivilgesetzbuches (Obligationenrecht [OR], SR 220) analog (Rhinow/Kol­ler/Kiss/ Thurnherr/Brühl-Moser, a.a.O., Rz. 902). Demzufolge endet die Frist mit dem Tag des letzten Monats, der nach seiner Zahl dem Tag, an dem die Frist zu laufen beginnt, entspricht (Art. 4 Abs. 2 Fristberechnungsabkommen). Samstage, Sonntage und gesetzliche Feiertage werden bei der Berechnung einer Frist mitgezählt. Fällt jedoch der Fristablauf auf einen Samstag, Sonntag, gesetzlichen Feiertag oder einen Tag, der wie ein gesetzlicher Feiertag behandelt wird, so wird die Frist auf den nächstfolgenden Werktag verlängert (Art. 5 Fristberechnungsabkommen).</w:t>
      </w:r>
    </w:p>
    <w:p>
      <w:r>
        <w:rPr>
          <w:b/>
        </w:rPr>
        <w:t>E. 2.4</w:t>
      </w:r>
    </w:p>
    <w:p>
      <w:r>
        <w:t>Hat der Patentinhaber eine gesetzliche oder von der Vorinstanz angesetzte Frist versäumt, so kann er bei der Vorinstanz die Weiterbehandlung beantragen (Art. 46a Abs. 1 PatG). Er muss den Antrag innerhalb von zwei Monaten seit dem Zugang der Benachrichtigung des Instituts über das Fristversäumnis einreichen, spätestens jedoch innerhalb von sechs Monaten nach Ablauf der versäumten Frist. Innerhalb dieser Fristen muss er zudem die unterbliebene Handlung vollständig nachholen und die Weiterbehandlungsgebühr bezahlen (Art. 46a Abs. 2 PatG). Durch die Gutheissung des Weiterbehandlungsantrags wird der Zustand hergestellt, der bei rechtzeitiger Handlung eingetreten wäre, unter Vorbehalt der Rechte Dritter (Art. 46a Abs. 3 PatG). Die Weiterbehandlung ist unter anderem beim Versäumnis der Fristen für die Einreichung des Wei­terbehandlungsantrags oder des Wiedereinsetzungsgesuchs ausgeschlossen (Art. 46a Abs. 4 Bst. b und c PatG).</w:t>
      </w:r>
    </w:p>
    <w:p>
      <w:r>
        <w:rPr>
          <w:b/>
        </w:rPr>
        <w:t>E. 2.5</w:t>
      </w:r>
    </w:p>
    <w:p>
      <w:r>
        <w:t>Vermag der Patentinhaber glaubhaft zu machen, dass er ohne sein Verschulden an der Einhaltung einer durch das PatG oder die PatV vorgeschriebenen oder von der Vorinstanz angesetzten Frist verhindert wurde, so ist ihm auf sein Gesuch hin Wiedereinsetzung in den früheren Stand zu gewähren (Art. 47 Abs. 1 PatG). Die Wiedereinsetzung ist für Fälle relevant, in welchem die Weiterbehandlung gesetzlich ganz ausgeschlossen oder die Frist für die Weiterbehandlung bereits verstrichen ist und der Patentinhaber erst dann bemerkt, dass eine Handlung irrtümlich unterblieb (Mario M. Pedrazzini/Christian Hilti Europäisches und schweizerisches Patent- und Patentprozessrecht, 3. Aufl, Bern 2008, S. 266). Das Gesuch ist innert zwei Monaten seit dem Wegfall des Hindernisses, spätestens aber innert eines Jahres seit dem Ablauf der versäumten Frist bei der Behörde einzureichen, bei welcher die versäumte Handlung vorzunehmen war. Gleichzeitig ist die versäumte Handlung nachzuholen (Art. 47 Abs. 2 PatG). Eine Wiedereinsetzung in die Frist für das Wiedereinsetzungsgesuch ist nicht möglich (Art. 47 Abs. 3 PatG; Lukas Bühler/Sonia Blind Buri in von Büren/David [Hrsg.], Patentrecht und Know-How, Schweizerisches Immaterialgüter- und Wettbewerbsrecht, Bd. IV, Basel 2006 [zit. SIWR IV], S. 229). Das Hindernis entfällt mit der Kenntnisnahme des Versäumnisses durch den Patentinhaber oder seinen Vertreter. Von der Kenntnis des Versäumnisses ist in aller Regel spätestens mit Erhalt der Löschungsanzeige auszugehen (Urteile des Bundesgerichts 4A.5/2002 vom 22. Januar 2003 E. 3.1; 4A.11/1995 vom 16. April 1996, E. 2b; Bühler/Blind Buri, SIWR IV, S. 234; Peter Heinrich, PatG/EPÜ, Kommentar in synoptischer Darstellung, 2. Aufl., Bern 2010, PatG 47 Rz. 18). Solange der Patentinhaber einen Vertreter bestellt hat, werden Mitteilungen ausschliesslich an diesen zugestellt (Art. 8 Abs. 1 PatV). Gemäss konstanter Praxis kommt dabei die Zustellung einer Löschungsanzeige an den zuständigen Vertreter der Zustellung an den Patentinhaber selbst gleich (Urteile des Bundesgerichts 4A.5/2002 vom 22. Januar 2003 E. 3.1; A.501/1983 vom 21. März 1983, E. 2a; Heinrich, a.a.O., PatG 47 Rz. 12). Als weggefallen gilt das Hindernis auch, wenn es nicht mehr als unverschuldet gelten kann (Bühler/Blind Buri, SIWR IV, S. 234). Wird dem Gesuch um Wiedereinsetzung entsprochen, wird dadurch der Zustand hergestellt, welcher bei rechtzeitiger Handlung eingetreten wäre, unter Vorbehalt der Rechte Dritter (Art. 47 Abs. 4 PatG).</w:t>
      </w:r>
    </w:p>
    <w:p>
      <w:r>
        <w:rPr>
          <w:b/>
        </w:rPr>
        <w:t>E. 2.6</w:t>
      </w:r>
    </w:p>
    <w:p>
      <w:r>
        <w:t>Nach Rechtsprechung und Lehre stehen die Rechtsbehelfe der Weiterbehandlung nach Art. 46a PatG und der Wiedereinsetzung in den früheren Stand gemäss Art. 47 PatG parallel, aber nicht kumulativ zur Verfügung (vgl. Urteile des Bundesgerichts 4A_149/2008 vom 6. Juni 2008 E. 3.3, 4A.5/2002 vom 22. Januar 2003 E. 3.1; Urteil des Bundesverwaltungsgerichts B-730/2011 vom 6. Juni 2012 E. 3.2; RKGE in sic! 2005 S. 37 E. 5; Heinrich, a.a.O., PatG 47 Rz. 1; Stefan Luginbühl in SIWR IV, S. 333). Nicht wiedereinsetzungsfähig ist die absolute Frist von sechs Monaten nach Ablauf der versäumten Frist gemäss Art. 46a Abs. 2 PatG, während dies bezüglich der zweimonatigen relativen Frist offen gelassen wurde (Urteil des Bundesverwaltungsgerichts B-730/2011 vom 6. Juni 2012 E. 3.2, 5.4). Auch zu dieser Frage dürften die in jenem Entscheid erwähnten Gründe gegen die Kumulierung der beiden Rechtswohltaten zwar grundsätzlich angeführt werden können. Wie sich nachfol­gend ergibt (E. 3.3), kann diese Frage jedoch auch vorliegend offen bleiben.</w:t>
      </w:r>
    </w:p>
    <w:p>
      <w:r>
        <w:rPr>
          <w:b/>
        </w:rPr>
        <w:t>E. 3.1</w:t>
      </w:r>
    </w:p>
    <w:p>
      <w:r>
        <w:t>Die angefochtene Verfügung vom 23. Juli 2013 begründete die Vorinstanz damit, dass die Frist von zwei Monaten nach Wegfall des Hindernisses bei Einreichung des Gesuchs um Wiedereinsetzung in den früheren Stand bereits verstrichen gewesen sei. Als Weggefallen gelte das Hindernis auch dann, wenn es nicht mehr unverschuldet fortbestehe. Mit Hinsicht auf ein irrtümliches Fristversäumnis bedeute das, dass die Frist bereits dann zu laufen beginne, wenn die Beschwerdeführerin bei der gebotenen Aufmerksamkeit den Irrtum hätte erkennen können. Deshalb habe die Frist am 31. Dezember 2012 zu laufen begonnen, weil spätestens dann die Kontrolle, ob die fraglichen Gebühren tatsächlich überwiesen worden sind, unterlassen worden sei.</w:t>
      </w:r>
    </w:p>
    <w:p>
      <w:r>
        <w:rPr>
          <w:b/>
        </w:rPr>
        <w:t>E. 3.2</w:t>
      </w:r>
    </w:p>
    <w:p>
      <w:r>
        <w:t>Die Beschwerdeführerin hat in ihren E-Mails an die Vorinstanz, die sinngemäss als Wiedererwägungsgesuch interpretiert wurden, die Wiedereinsetzung in die Frist zur Einreichung des Weiterbehandlungsantrags beantragt. Die Vorinstanz macht diesbezüglich geltend, dass das Hindernis mit Eingang der Löschungsanzeige weggefallen und die Frist zur Einreichung des Weiterbehandlungsgesuchs ungenutzt verstrichen sei. In der Tat hätte die Beschwerdeführerin während zweier Monate nach Erhalt der Löschungsanzeige bei der Vorinstanz sowohl ein Wiedereinsetzungsgesuch als auch einen Weiterbehandlungsantrag einreichen können. Wie die Beschwerdeführerin jedoch selbst darlegt, hat sie die Löschanzeige zwar erhalten, mit der Bezahlung der Patentgebühr aber zugewartet, da sie aufgrund eines vor dem deutschen Bundesgerichtshof laufenden Verfahrens damit rechnen musste, dass ihr Patent wertlos würde. Allerdings hat dieses absichtliche Zuwarten zur Folge, dass damit kein Hindernis im Sinne von Art. 47 PatG (mehr) vorgelegen hat, weil die Frist bewusst überschritten worden ist (Bühler/Blind Buri, SIWR IV, S. 230; Heinrich, a.a.O., Rz. 16). Nach diesem unbestrittenen Sachverhalt sind gemäss Rechtsprechung und Lehre als relevanter Zeitpunkt für den Fristenlauf nicht die Vorgänge zwischen Weihnachten und Neujahr 2012, sondern bereits die Löschungsanzeige vom 31. Oktober 2012 massgeblich. Zum Zeitpunkt des Gesuchs vom 4. März 2013 war somit die Frist für die Wiedereinsetzung bereits verstrichen.</w:t>
      </w:r>
    </w:p>
    <w:p>
      <w:r>
        <w:rPr>
          <w:b/>
        </w:rPr>
        <w:t>E. 3.3</w:t>
      </w:r>
    </w:p>
    <w:p>
      <w:r>
        <w:t>Das gleiche Ergebnis erhielte man, wenn man davon ausginge, dass die von der Beschwerdeführerin geschilderten Irrtümer ursächlich für das Verpassen der Frist gewesen wären. Der deutsche Vertreter der Beschwerdeführerin wusste nämlich aufgrund seines vorgängigen Telefonats, dass das Büro der Schweizer Vertreterin der Beschwerdeführerin vom 27. bis zum 31. Dezember 2012 geöffnet war. Bei Wahrung der erforderlichen Sorgfalt hätte er sich dort bereits am 27. Dezember 2012 nach dem Stand der Dinge erkundigen müssen, worauf sein Irrtum rechtzeitig erkannt worden wäre. Das Hindernis kann somit von diesem Tag an nicht mehr als unverschuldet gelten, so dass die Frist am darauf folgenden Tag zu laufen begonnen hat. Das bedeutet, dass die zweimonatige Frist für die Wiedereinsetzung am Donnerstag, dem 28. März 2013 unbenutzt endete. Mit dem Gesuch vom 4. März 2013 ist die zweimonatige Frist für den Antrag auf Wiedereinsetzung in den früheren Stand klar verpasst worden.</w:t>
      </w:r>
    </w:p>
    <w:p>
      <w:r>
        <w:rPr>
          <w:b/>
        </w:rPr>
        <w:t>E. 4</w:t>
      </w:r>
    </w:p>
    <w:p>
      <w:r>
        <w:t>Damit ist die Vorinstanz zurecht auch nicht auf das Gesuch um Wiedereinsetzung in die Weiterbehandlung eingetreten. Die angefochtene Verfügung der Vorinstanz vom 23. Juli 2013 ist somit im Ergebnis nicht zu beanstanden. Die Beschwerde ist daher als unbegründet abzuweisen.</w:t>
      </w:r>
    </w:p>
    <w:p>
      <w:r>
        <w:rPr>
          <w:b/>
        </w:rPr>
        <w:t>E. 5</w:t>
      </w:r>
    </w:p>
    <w:p>
      <w:r>
        <w:t>Bei diesem Verfahrensausgang sind der unterliegenden Beschwerdeführerin die Verfahrenskosten aufzuerlegen (Art. 63 Abs. 1 VwVG). Die Gerichtsgebühr bemisst sich nach Umfang und Schwierigkeit der Streitsache, Art der Prozessführung und finanzieller Lage der Parteien (Art. 63 Abs. 4bis VwVG; Art. 2 Abs. 1 des Reglements vom 21. Februar 2008 über die Kosten und Entschädigungen vor dem Bundesverwaltungsgericht [VGKE, SR 173.320.2]). In den patentrechtlichen Verfahren der Weiterbehandlung und Wiedereinsetzung ist dafür das Interesse des beschwerdeführenden Patentbewerbers oder -inhabers an der Erlangung oder Aufrechterhaltung des Patentschutzes zu veranschlagen (vgl. Pedrazzini/ Hilti, a.a.O., S. 265). Die Beschwerdeführerin hat dieses mit Fr. 30'000.- veranschlagt. Die Gerichtsgebühr wird daher im vorliegenden Verfahren auf Fr. 2'500.- festgesetzt. Sie ist mit dem Kostenvorschuss von Fr. 2'500.- zu verrechnen. Es wird keine Parteientschädigung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