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B-5168/2007 vom 18. Oktober 2007</w:t>
      </w:r>
    </w:p>
    <w:p>
      <w:r>
        <w:t>Bundesverwaltungsgericht, 2007-10-18, DE</w:t>
      </w:r>
    </w:p>
    <w:p>
      <w:r>
        <w:rPr>
          <w:b/>
        </w:rPr>
        <w:t xml:space="preserve">Quelle: </w:t>
      </w:r>
      <w:r>
        <w:t>https://mcp.opencaselaw.ch/entscheid/bvger_B-5168_2007</w:t>
      </w:r>
    </w:p>
    <w:p>
      <w:r>
        <w:t>FR: TAF B-5168/2007 du 18 octobre 2007</w:t>
      </w:r>
    </w:p>
    <w:p>
      <w:r>
        <w:t>IT: TAF B-5168/2007 del 18 ottobre 2007</w:t>
      </w:r>
    </w:p>
    <w:p>
      <w:pPr>
        <w:pStyle w:val="Heading2"/>
      </w:pPr>
      <w:r>
        <w:t>Regeste</w:t>
      </w:r>
    </w:p>
    <w:p>
      <w:r>
        <w:t>Widerspruchssachen</w:t>
      </w:r>
    </w:p>
    <w:p>
      <w:pPr>
        <w:pStyle w:val="Heading2"/>
      </w:pPr>
      <w:r>
        <w:t>Erwägungen</w:t>
      </w:r>
    </w:p>
    <w:p>
      <w:r>
        <w:rPr>
          <w:b/>
        </w:rPr>
        <w:t>E. 1</w:t>
      </w:r>
    </w:p>
    <w:p>
      <w:r>
        <w:t>Ob die Prozessvoraussetzungen erfüllt sind und ob auf eine Beschwerde einzutreten ist, prüft das Bundesverwaltungsgericht von Amtes wegen und mit freier Kognition (vgl. BVGE 2007/6 E. 1 S. 45 mit Hinweisen).</w:t>
      </w:r>
    </w:p>
    <w:p>
      <w:r>
        <w:rPr>
          <w:b/>
        </w:rPr>
        <w:t>E. 1.1</w:t>
      </w:r>
    </w:p>
    <w:p>
      <w:r>
        <w:t>Die Vorinstanz hat in der angefochtenen Anordnung vom 11. Juli 2007 das wegen neuer Tatsachen am 16. Mai 2007 abermals gestellte Gesuch um Sistierung des Widerspruchsverfahrens sinngemäss aufs Neue abgewiesen. Die Frage, ob die Vorinstanz dieses Gesuch formell als Wiedererwägungsgesuch hätte behandeln und entsprechend formell korrekt hätte verfügen müssen, kann offenbleiben, nachdem jedenfalls der Begründung entnommen werden kann, dass die Vorinstanz die erneut beantragte Sistierung geprüft und im Ergebnis erneut abschlägig beantwortet hat. Diese prozessleitende Anordnung stellt eine Zwischenverfügung nach Art. 5 Abs. 2 des Bundesgesetzes vom 20. Dezember 1968 über das Verwaltungsverfahren dar (VwVG, SR 172.021), welche grundsätzlich der Beschwerde an das Bundesverwaltungsgericht unterliegt (vgl. Art. 31, Art. 33 Bst. e des Verwaltungsgerichtsgesetzes vom 17. Juni 2005 [VGG, SR 173.32] i. V. m. Art. 46 Abs. 1 und 47 Abs. 1 Bst. b VwVG).</w:t>
      </w:r>
    </w:p>
    <w:p>
      <w:r>
        <w:rPr>
          <w:b/>
        </w:rPr>
        <w:t>E. 1.2</w:t>
      </w:r>
    </w:p>
    <w:p>
      <w:r>
        <w:t>Selbstständig anfechtbar ist diese Zwischenverfügung jedoch nur, wenn sie einen nicht wieder gutzumachenden Nachteil bewirken kann oder wenn durch die Gutheissung der Beschwerde sofort ein Endentscheid herbeigeführt werden könnte. Andernfalls wäre diese Zwischenverfügungen nur mit Beschwerde gegen die Endverfügung anfechtbar (Art. 5 Abs. 2 i. V. m. Art. 46 VwVG).</w:t>
      </w:r>
    </w:p>
    <w:p>
      <w:r>
        <w:rPr>
          <w:b/>
        </w:rPr>
        <w:t>E. 1.2.1</w:t>
      </w:r>
    </w:p>
    <w:p>
      <w:r>
        <w:t>Mit der beschränkten Anfechtbarkeit soll verhindert werden, dass das Bundesverwaltungsgericht Zwischenverfügungen überprüfen muss, die durch einen günstigen Endentscheid für den Betroffenen jeden Nachteil verlieren. Die Rechtsmittelinstanz soll sich in der Regel nur einmal mit einer Streitsache befassen müssen (VPB 64.108 E. 2.1 mit weiteren Hinweisen). Das besondere Rechtsschutzinteresse, das die sofortige Anfechtbarkeit einer Zwischenverfügung begründet, liegt im Nachteil, der entstünde, wenn die Anfechtung der Zwischenverfügung erst zusammen mit der Beschwerde gegen den Endentscheid zugelassen wäre (vgl. Pierre Tschannen/Ulrich Zimmerli, Allgemeines Verwaltungsrecht, 2. Aufl., Bern 2005, § 28 N. 83). Der Nachteil muss nicht rechtlicher Natur sein. Die Beeinträchtigung in schutzwürdigen tatsächlichen, insbesondere auch wirtschaftlichen Interessen genügt, sofern der Betroffene nicht nur versucht, eine Verlängerung oder Verteuerung des Verfahrens zu verhindern (BGE 130 II 149 E. 1.1, vgl. u.a. auch Alfred Kölz/Isabelle Häner, Verwaltungsverfahren und Verwaltungsrechtspflege des Bundes, 2. Aufl. 1998, N. 516 mit Hinweisen).</w:t>
      </w:r>
    </w:p>
    <w:p>
      <w:r>
        <w:rPr>
          <w:b/>
        </w:rPr>
        <w:t>E. 1.2.2</w:t>
      </w:r>
    </w:p>
    <w:p>
      <w:r>
        <w:t>Im vorliegenden Fall kann das Bestehen eines nicht wieder gutzumachenden Nachteils ohne weiteres bejaht werden: Wie die Beschwerdeführerin zu Recht einwendet, würde ihr nämlich ohne Sistierung des Widerspruchsverfahrens die Löschung ihrer seit nunmehr zwei Jahren eingetragenen Marke CH-(...) drohen, die mit der Widerspruchsmarke identisch und für die gleichen Waren wie die Widerspruchsmarke eingetragen worden ist.</w:t>
      </w:r>
    </w:p>
    <w:p>
      <w:r>
        <w:rPr>
          <w:b/>
        </w:rPr>
        <w:t>E. 1.3</w:t>
      </w:r>
    </w:p>
    <w:p>
      <w:r>
        <w:t>Die übrigen Sachurteilsvoraussetzungen sind hier ebenfalls gegeben: Die Beschwerdeführerin hat ihre Eingabe (Übergabe an die Post am 30. Juli 2007) innerhalb der 30-tägigen Beschwerdefrist gemäss Art. 50 Abs. 1 VwVG eingereicht. Die Beschwerdeführung ist zudem formgerecht erfolgt (Art. 52 VwVG) und der Kostenvorschuss wurde fristgerecht bezahlt (Art. 64 Abs. 4 VwVG). Auf die Beschwerde ist daher einzutreten.</w:t>
      </w:r>
    </w:p>
    <w:p>
      <w:r>
        <w:rPr>
          <w:b/>
        </w:rPr>
        <w:t>E. 2</w:t>
      </w:r>
    </w:p>
    <w:p>
      <w:r>
        <w:t>In ihren einlässlichen Eingaben an das Bundesverwaltungsgericht gehen die Parteien in ungewohnt scharfem Ton miteinander ins Gericht: Während die Beschwerdeführerin der Beschwerdegegnerin vorwirft, ein auf das "Ausweiden" maroder Unternehmen spezialiserter "Raider" zu sein, welcher "im Stile eines Cybersquatters" die Widerspruchsmarke am (...) bei der Vorinstanz "piratenmässig" angemeldet habe, um von ihr "räuberische Lizenzgebühren herauszupressen", hält die Beschwerdegegnerin den Vorwurf, rechtsmissbräuchliche Markenpiraterie zu betreiben, für haltlos und erachtet die prozessuale Vorgehensstrategie der Beschwerdeführerin als rechtsmissbräuchlich und chancenlos.</w:t>
      </w:r>
    </w:p>
    <w:p>
      <w:r>
        <w:rPr>
          <w:b/>
        </w:rPr>
        <w:t>E. 2.1</w:t>
      </w:r>
    </w:p>
    <w:p>
      <w:r>
        <w:t>Im gegenwärtig vor Handelsgericht geführten Prozess wird über die Rechtmässigkeit der auf der Widerspruchsmarke gründenden Forderungen der Beschwerdegegnerin ebenso zu entscheiden sein wie über die Anfechtbarkeit bzw. die Nichtigkeit des diese Forderung angeblich begründenden Kaufvertrages vom 18. Dezember 2003. In diesem Zusammenhang wird, wie die Beschwerdeführerin zu Recht hervorhebt, auch die widerklageweise geltend gemachte Nichtigkeit der Widerspruchsmarke und die beantragte Anweisung auf Löschung dieser Marke zu beurteilen sein. Der enge prozessuale Zusammenhang der Fragestellungen lässt sich nicht ernsthaft bezweifeln.</w:t>
      </w:r>
    </w:p>
    <w:p>
      <w:r>
        <w:rPr>
          <w:b/>
        </w:rPr>
        <w:t>E. 2.2</w:t>
      </w:r>
    </w:p>
    <w:p>
      <w:r>
        <w:t>Demgegenüber hat das Bundesverwaltungsgericht im vorliegenden Beschwerdeverfahren weder die materielle Begründetheit der vor Handelsgericht auszufechtenden Positionen der Parteien zu erörtern, noch sich zu deren Prozesschancen zu äussern. Vielmehr ist einzig zu prüfen, ob hinreichende Gründe vorliegen, welche die beantragte Sistierung des vorinstanzlichen Widerspruchsverfahrens rechtfertigen (vgl. André Moser/Peter Uebersax, Prozessieren vor eidgenössischen Rekurskommissionen, Basel und Frankfurt a.M. 1998, Rz. 3.11).</w:t>
      </w:r>
    </w:p>
    <w:p>
      <w:r>
        <w:rPr>
          <w:b/>
        </w:rPr>
        <w:t>E. 2.2.1</w:t>
      </w:r>
    </w:p>
    <w:p>
      <w:r>
        <w:t>Eine Verfahrenssistierung fällt insbesondere in Betracht, wenn ein anderes Verfahren hängig ist, dessen Ausgang für das zu sistierende von präjudizieller Bedeutung ist (BGE 123 II 1 E. 2b, BGE 122 II 211 E. 3e). Als weiterer Sistierungsgrund gilt ferner der Umstand, dass Verhandlungen betreffend eine allfällige einvernehmliche Lösung zwischen den Beteiligten aufgenommen wurden, wobei die konkrete Verhandlungsbereitschaft aller Beteiligten vorauszusetzen ist und die Verhandlungen darauf abzielen müssen, eine Lösung herbeizuführen, die das Beschwerdeverfahren zumindest teilweise gegenstandslos werden liesse (vgl. Moser/Uebersax, a.a.O., Rz. 3.11). Eine Sistierung ist des Weiteren auch zulässig, wenn sie aus anderen wichtigen Gründen geboten erscheint und ihr keine überwiegenden öffentlichen und privaten Interessen entgegenstehen (Basellandschaftliche Verwaltungsgerichtsentscheide [BLVGE] 1995 136 E. 2 mit Hinweisen). Beim Entscheid darüber, ob ein Verfahren zu sistieren ist, steht dem Richter ein erheblicher Ermessensspielraum zu (BGE 119 II 386 E. 1b).</w:t>
      </w:r>
    </w:p>
    <w:p>
      <w:r>
        <w:rPr>
          <w:b/>
        </w:rPr>
        <w:t>E. 2.2.2</w:t>
      </w:r>
    </w:p>
    <w:p>
      <w:r>
        <w:t>Wie die Beschwerdeführerin inzwischen rechtsgenüglich belegen konnte, ist vor Handelsgericht das der Vorinstanz bereits mit Eingabe vom 2. März 2007 angekündigte handelsgerichtliche Verfahren hängig, dessen Ausgang von präjudizieller Bedeutung für das vorliegende Widerspruchsverfahren ist. Damit liegt ein zureichender Grund für eine Sistierung des Widerspruchsverfahrens vor. Entgegen der Ansicht der Beschwerdegegnerin liegt hier kein unzulässiges Novum vor. Das Bundesverwaltungsgericht hat gestützt auf die verbindliche verfahrensgesetzliche Regelung in Übereinstimmung mit Lehre und Praxis ihren Entscheid grundsätzlich auf die Sachlage im Entscheidzeitpunkt abzustellen (vgl. Moser/Uebersax, a.a.O., Rz. 2.80). Insofern ist die Beschwerde ohne weiteres als begründet gutzuheissen.</w:t>
      </w:r>
    </w:p>
    <w:p>
      <w:r>
        <w:rPr>
          <w:b/>
        </w:rPr>
        <w:t>E. 2.2.3</w:t>
      </w:r>
    </w:p>
    <w:p>
      <w:r>
        <w:t>Der Vorinstanz kann in diesem Zusammenhang der Vorwurf nicht erspart bleiben, dass sie in ihrer Verfahrensführung auf die absehbare Entwicklung, insbesondere die präjudizielle Bedeutung der angekündigten Widerklage keinerlei Rücksicht nahm; zumal ihr die Beschwerdeführerin am 16. Mai 2007 die Rechtshängigkeit der handelsgerichtlichen Klage der Beschwerdegegnerin gemeldet und Belege eingereicht hatte, welche den engen Konnex zwischen der von der Beschwerdegegnerin behaupteten Gültigkeit bzw. von der Beschwerdeführerin behaupteten Ungültigkeit/Nichtigkeit des Kaufvertrages (bzw. Markennichtigkeit) aufzeigte. Mit Blick auf die im Rahmen des Widerspruchsverfahrens bestehende Mitwirkungspflicht (vgl. Art. 13 VwVG) ist indessen auch der Beschwerdeführerin vorzuhalten, dass sie es unterliess, die Vorinstanz umgehend auf die Verfügung des Handelsgerichts vom 18. Juni 2007 hinzuweisen, mit der ihr Frist zur Klageantwort/Widerklage bis 21. August 2007 gesetzt worden war. Zumindest auf diesen Zeitrahmen (bzw. auch auf eine handelsgerichtlich verlängerte Frist) hätte die Vorinstanz nämlich Rücksicht nehmen müssen, wäre ihr dieser Sachverhalt umgehend gemeldet worden. Die Vorinstanz wird diesem Unterlassen, sofern es sich nicht als entschuldbar herausstellen sollte, allenfalls bei der Kostenliquidation des Widerspruchsverfahrens Rechnung tragen müssen, sofern dieses zu Gunsten der Beschwerdeführerin ausgehen sollte (vgl. Art. 64 Abs. 3 VwVG).</w:t>
      </w:r>
    </w:p>
    <w:p>
      <w:r>
        <w:rPr>
          <w:b/>
        </w:rPr>
        <w:t>E. 3</w:t>
      </w:r>
    </w:p>
    <w:p>
      <w:r>
        <w:t>Zusammenfassend ergibt sich, dass in Gutheissung der Beschwerde die angefochtene Zwischenverfügung aufzuheben ist und das zwischen den Parteien hängige Widerspruchsverfahren Nr. (...) bis zur rechtskräftigen Beurteilung der vor dem Handelsgericht des Kantons A._______ unter der Geschäfts-Nr. (...) hängigen Widerklage der Beschwerdeführerin zu sistieren ist (vgl. Art. 61 Abs. 1 VwVG). Die Beschwerdeführerin ist anzuweisen, die Vorinstanz zu gegebenem Zeitpunkt unverzüglich über die rechtskräftige Erledigung des oberwähnten handelsgerichtlichen Verfahrens zu informieren.</w:t>
      </w:r>
    </w:p>
    <w:p>
      <w:r>
        <w:rPr>
          <w:b/>
        </w:rPr>
        <w:t>E. 4</w:t>
      </w:r>
    </w:p>
    <w:p>
      <w:r>
        <w:t>Bei diesem Ausgang des Verfahrens sind der Beschwerdegegnerin als unterliegende Partei die Verfahrenskosten von Fr. 1'350.- aufzuerlegen (Art. 63 Abs. 1 VwVG). Der Beschwerdeführerin ist der von ihr eingezahlte Kostenvorschuss von Fr. 1'350.- zurückzuerstatten. Der obsiegenden Beschwerdeführerin ist zu Lasten der Beschwerdegegnerin eine Parteientschädigung zuzusprechen (Art. 64 Abs. 1 und 2 VwVG). Mangels Kostennote ist die Entschädigung auf Grund der Akten zu bestimmen. Sie wird auf Fr. 1'000.- (inkl. MWST) festgesetzt (Art. 8 und 14 Abs. 2 des Reglements vom 11. Dezember 2006 über die Kosten und Entschädigungen vor dem Bundesverwaltungsgericht, VGKE, SR 173.320.2). Der unterliegenden Beschwerdegegnerin ist keine Parteientschädigung zuzusprechen (Art. 64 Abs. 1 VwVG).</w:t>
      </w:r>
    </w:p>
    <w:p>
      <w:r>
        <w:rPr>
          <w:b/>
        </w:rPr>
        <w:t>E. 5</w:t>
      </w:r>
    </w:p>
    <w:p>
      <w:r>
        <w:t>Dieser Entscheid kann nicht mit Beschwerde in Zivilsachen an das Bundesgericht weitergezogen werden (Art. 1 Abs. 2 VGG i. V. m. Art. 73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