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B-5129/2011 vom 14. Februar 2012</w:t>
      </w:r>
    </w:p>
    <w:p>
      <w:r>
        <w:t>Bundesverwaltungsgericht, 2012-02-14, DE</w:t>
      </w:r>
    </w:p>
    <w:p>
      <w:r>
        <w:rPr>
          <w:b/>
        </w:rPr>
        <w:t xml:space="preserve">Quelle: </w:t>
      </w:r>
      <w:r>
        <w:t>https://mcp.opencaselaw.ch/entscheid/bvger_B-5129_2011</w:t>
      </w:r>
    </w:p>
    <w:p>
      <w:r>
        <w:t>FR: TAF B-5129/2011 du 14 février 2012</w:t>
      </w:r>
    </w:p>
    <w:p>
      <w:r>
        <w:t>IT: TAF B-5129/2011 del 14 febbraio 2012</w:t>
      </w:r>
    </w:p>
    <w:p>
      <w:pPr>
        <w:pStyle w:val="Heading2"/>
      </w:pPr>
      <w:r>
        <w:t>Regeste</w:t>
      </w:r>
    </w:p>
    <w:p>
      <w:r>
        <w:t>Berufsprüfung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500.- werden der Beschwerdeführerin auferlegt. Sie werden mit dem geleisteten Kostenvorschuss verrechnet und der Beschwerdeführerin werden Fr. 550.- zurückerstattet.</w:t>
      </w:r>
    </w:p>
    <w:p>
      <w:r>
        <w:rPr>
          <w:b/>
        </w:rPr>
        <w:t>E. 3</w:t>
      </w:r>
    </w:p>
    <w:p>
      <w:r>
        <w:t>Es wird keine Parteientschädigung zugesprochen.</w:t>
      </w:r>
    </w:p>
    <w:p>
      <w:r>
        <w:rPr>
          <w:b/>
        </w:rPr>
        <w:t>E. 4</w:t>
      </w:r>
    </w:p>
    <w:p>
      <w:r>
        <w:t>Dieses Urteil geht an: - die Beschwerdeführerin (Einschreiben; Beilagen: Rückerstattungs-formular; Beschwerdebeilagen zurück) - die Vorinstanz (Ref-Nr. 122; Einschreiben; Beilage: Vernehmlassungsbeilagen zurück) - die Erstinstanz (Einschreiben) Die vorsitzende Richterin: Die Gerichtsschreiberin Eva Schneeberger Beatrice Grubenmann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