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B-5113/2011 vom 28. Juni 2012</w:t>
      </w:r>
    </w:p>
    <w:p>
      <w:r>
        <w:t>Bundesverwaltungsgericht, 2012-06-28, FR</w:t>
      </w:r>
    </w:p>
    <w:p>
      <w:r>
        <w:rPr>
          <w:b/>
        </w:rPr>
        <w:t xml:space="preserve">Quelle: </w:t>
      </w:r>
      <w:r>
        <w:t>https://mcp.opencaselaw.ch/entscheid/bvger_B-5113_2011</w:t>
      </w:r>
    </w:p>
    <w:p>
      <w:r>
        <w:t>FR: TAF B-5113/2011 du 28 juin 2012</w:t>
      </w:r>
    </w:p>
    <w:p>
      <w:r>
        <w:t>IT: TAF B-5113/2011 del 28 giugno 2012</w:t>
      </w:r>
    </w:p>
    <w:p>
      <w:pPr>
        <w:pStyle w:val="Heading2"/>
      </w:pPr>
      <w:r>
        <w:t>Regeste</w:t>
      </w:r>
    </w:p>
    <w:p>
      <w:r>
        <w:t>Surveillance de la révision</w:t>
      </w:r>
    </w:p>
    <w:p>
      <w:pPr>
        <w:pStyle w:val="Heading2"/>
      </w:pPr>
      <w:r>
        <w:t>Erwägungen</w:t>
      </w:r>
    </w:p>
    <w:p>
      <w:r>
        <w:rPr>
          <w:b/>
        </w:rPr>
        <w:t>E. 13</w:t>
      </w:r>
    </w:p>
    <w:p>
      <w:r>
        <w:t>Le recourant invoque au passage - sans véritablement développer son argumentation une atteinte lourde à sa liberté économique non justifiée par un intérêt public dès lors que la décision entreprise l'empêche d'exercer le noyau central de son activité professionnelle depuis 1976. En matière d'agrément, le Tribunal de céans s'est déjà prononcé sur l'existence ou non d'une atteinte à la liberté économique portée par l'exigence d'un agrément. Il a considéré que l'activité de fournisseur de prestations en matière de révision est protégée par les garanties de l'art. 27 Cst. ; aussi, une décision rejetant la demande d'agrément nécessité en vue de la fourniture desdites prestations porte atteinte à la liberté économique du recourant. Examinant si cette atteinte satisfait aux exigences constitutionnelles, il a jugé qu'une restriction à la liberté économique s'avère en principe admissible en la matière et qu'elle dispose d'une base légale suffisante. En outre, il a expressément reconnu l'existence d'un intérêt public dans le but arrêté par la LSR, soit de garantir une exécution régulière et la qualité des prestations en matière de révision. Par ailleurs, il a souligné que, si le refus d'agréer un requérant en qualité, in casu, d'expert-réviseur influe indiscutablement sur ses activités professionnelles, il ne constitue toutefois pas une interdiction d'exercer sa profession puisque les personnes non agréées par l'autorité de surveillance sont habilitées malgré tout à fournir des prestations autres que celles définies par la loi. (cf. arrêt du Tribunal administratif fédéral B 2807/2008 du 19 août 2008 consid. 5 et les réf. cit.). Rien ne justifie de s'écarter de cette jurisprudence qu'il convient dès lors d'appliquer au cas d'espèce. De surcroît, le recourant n'a présenté aucun élément substantiel à l'appui de son grief ; il n'a, entre autres, pas précisé en quoi l'atteinte contreviendrait au principe de la proportionnalité. Au reste, un examen approfondi du dossier ne permet pas de mettre en évidence une violation dudit principe. Aussi, le recourant ne saurait se prévaloir d'une atteinte injustifiée à sa liberté économique.</w:t>
      </w:r>
    </w:p>
    <w:p>
      <w:r>
        <w:rPr>
          <w:b/>
        </w:rPr>
        <w:t>E. 14</w:t>
      </w:r>
    </w:p>
    <w:p>
      <w:r>
        <w:t>Enfin, le recourant allègue l'absence de prise en considération des circonstances du cas d'espèce. Il estime que l'ASR présume l'existence de fautes non communiquées relativisant les faits positifs. Il rappelle qu'il appartient à l'autorité inférieure d'instruire les faits d'office. Or, il n'indique pas les faits dont il se prévaut et dont l'autorité inférieure n'aurait pas tenu compte, se référant uniquement à un extrait de la décision querellée comprenant des considérations générales sur la pondération des faits dans l'appréciation de la réputation. Ainsi, faute d'allégués concrets et substantiels de la part du recourant, le Tribunal de céans ne saurait examiner plus avant des griefs dénués de toute pertinence. D'ailleurs, rien ne permet de retenir que des éléments de fait pertinents n'auraient pas été pris en compte, notamment que le recourant ait entrepris des démarches en vue de régulariser la situation.</w:t>
      </w:r>
    </w:p>
    <w:p>
      <w:r>
        <w:rPr>
          <w:b/>
        </w:rPr>
        <w:t>E. 15</w:t>
      </w:r>
    </w:p>
    <w:p>
      <w:r>
        <w:t>Au surplus, il sied de rappeler que les trois conditions d'agrément, soit la formation, la pratique professionnelle et la réputation irréprochable, se présentent de manière cumulative. Le défaut de l'une justifie déjà le rejet du recours. L'examen des autres conditions ne saurait alors conduire la procédure à une autre issue. Dans ces circonstances et dès lors que la condition relative à la réputation irréprochable n'est pas remplie, point n'est besoin d'examiner les autres exigences, survolées d'ailleurs par le recourant d'une manière succincte et sporadique.</w:t>
      </w:r>
    </w:p>
    <w:p>
      <w:r>
        <w:rPr>
          <w:b/>
        </w:rPr>
        <w:t>E. 16</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17</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 recourant a succombé dans l'ensemble de ses conclusions. En conséquence, les frais de procédure, lesquels s'élèvent à Fr. 2'000.-, décision incidente du 10 octobre 2011 comprise, doivent être intégralement mis à sa charge. Ils seront compensés par l'avance de frais de Fr. 2'000.- versée par le recourant dès l'entrée en force du présent arrêt. 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