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B-5087/2010 vom 1. März 2011</w:t>
      </w:r>
    </w:p>
    <w:p>
      <w:r>
        <w:t>Bundesverwaltungsgericht, 2011-03-01, FR</w:t>
      </w:r>
    </w:p>
    <w:p>
      <w:r>
        <w:rPr>
          <w:b/>
        </w:rPr>
        <w:t xml:space="preserve">Quelle: </w:t>
      </w:r>
      <w:r>
        <w:t>https://mcp.opencaselaw.ch/entscheid/bvger_B-5087_2010</w:t>
      </w:r>
    </w:p>
    <w:p>
      <w:r>
        <w:t>FR: TAF B-5087/2010 du 1 mars 2011</w:t>
      </w:r>
    </w:p>
    <w:p>
      <w:r>
        <w:t>IT: TAF B-5087/2010 del 1 marzo 2011</w:t>
      </w:r>
    </w:p>
    <w:p>
      <w:pPr>
        <w:pStyle w:val="Heading2"/>
      </w:pPr>
      <w:r>
        <w:t>Regeste</w:t>
      </w:r>
    </w:p>
    <w:p>
      <w:r>
        <w:t>Surveillance des marchés financiers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Demeurent réservées les exceptions - non réalisées en l'espèce - prévues à l'art. 32 LTAF. L'acte entrepris constitue une décision au sens de l'art. 5 al. 1 let. a PA susceptible de recours auprès du Tribunal administratif fédéral en vertu des art. 31 et 33 let. e LTAF en relation avec l'art. 54 de la loi sur la surveillance des marchés financiers du 22 juin 2007 (LFINMA, RS 956.1). Le Tribunal administratif fédéral est donc compétent pour statuer sur le présent recours.</w:t>
      </w:r>
    </w:p>
    <w:p>
      <w:r>
        <w:rPr>
          <w:b/>
        </w:rPr>
        <w:t>E. 1.2</w:t>
      </w:r>
    </w:p>
    <w:p>
      <w:r>
        <w:t>Les dispositions relatives à la représentation, au délai de recours, à la forme et au contenu du mémoire de recours (art. 11, 22a, 50 et 52 al. 1 PA), ainsi que les autres conditions de recevabilité (art. 44 ss et 63 al. 4 PA) sont en outre respectées. Le recours est ainsi recevable.</w:t>
      </w:r>
    </w:p>
    <w:p>
      <w:r>
        <w:rPr>
          <w:b/>
        </w:rPr>
        <w:t>E. 2</w:t>
      </w:r>
    </w:p>
    <w:p>
      <w:r>
        <w:t>La recourante semble considérer en premier lieu que la procédure d'autorisation ne s'avérait pas utile et n'a pour ainsi dire servi qu'à permettre à l'autorité de percevoir un émolument. L'autorité inférieure, quant à elle, relève que si une société souhaite obtenir une autorisation au sens de l'art. 14 de la loi sur le blanchiment d'argent du 10 octobre 1997 (LBA, RS 955.0), la FINMA doit mener une procédure dans la forme prévue à cet effet. À teneur de l'art. 14 LBA, tout intermédiaire financier visé à l'art. 2 al. 3 qui n'est pas affilié à un organisme d'autorégulation reconnu doit demander à la FINMA l'autorisation d'exercer son activité (al. 1). L'al. 2 de cette disposition énumère en détail les conditions à remplir. Il ressort des pièces versées au dossier que la recourante qui n'est affiliée à aucun organisme d'autorégulation reconnu a clairement manifesté sa volonté d'obtenir une autorisation au sens de l'art. 14 LBA. Il ne s'agissait pas d'une simple demande de renseignement de nature abstraite. Elle s'est adressée à la FINMA sur une question particulière la concernant directement, fournissant de la sorte suffisamment d'indices quant au fait que l'activité envisagée pouvait nécessiter une autorisation au sens de la LBA ; dans ces conditions, il appartenait à la première instance, compte tenu de son rôle d'autorité de surveillance des marchés financiers, d'examiner dans quelle mesure l'activité y afférente se trouvait soumise à son contrôle. Or, force est de constater que la procédure d'autorisation vise précisément cet examen. Qui plus est, la recourante n'a, au moment de déposer formellement sa requête, émis aucune réserve ni, à tout le moins, de doute quant à l'opportunité de la procédure ainsi introduite. Sur le vu de ce qui précède, le dépôt d'une requête tendant à l'octroi d'une autorisation au sens de l'art. 14 LBA accompagné de tous les documents pertinents constitue à l'évidence la seule procédure adéquate. Partant, le grief de la recourante apparaît dès lors mal fondé.</w:t>
      </w:r>
    </w:p>
    <w:p>
      <w:r>
        <w:rPr>
          <w:b/>
        </w:rPr>
        <w:t>E. 3</w:t>
      </w:r>
    </w:p>
    <w:p>
      <w:r>
        <w:t>Il convient à ce stade d'examiner si l'émolument perçu par la FINMA respecte les exigences légales en la matière.</w:t>
      </w:r>
    </w:p>
    <w:p>
      <w:r>
        <w:rPr>
          <w:b/>
        </w:rPr>
        <w:t>E. 3.1</w:t>
      </w:r>
    </w:p>
    <w:p>
      <w:r>
        <w:t>Le Tribunal administratif fédéral a déjà eu l'occasion de se prononcer sur l'importance d'une base légale en matière de perception de contributions causales sous forme d'émoluments et de taxes ainsi que sur les exigences y relatives (cf. arrêts du Tribunal administratif fédéral B 2786/2009 du 5 novembre 2009 consid. 2.2 ss et A-4620/2008 consid. 2 ss). À cet égard, l'art. 46a de la loi du 21 mars 1997 sur l'organisation du gouvernement et de l'administration (LOGA, RS 172.010) constitue la base légale générale à la perception d'émoluments pour les décisions et autres prestations de l'administration fédérale ; l'ordonnance générale du 8 septembre 2004 sur les émoluments (OGEmol, RS 172.041.1) en définit les principes. S'agissant de la FINMA, l'art. 15 al. 1 1ère phrase LFINMA prescrit que dite autorité perçoit des émoluments pour chaque procédure de surveillance et pour les prestations qu'elle fournit. S'appuyant sur la disposition précitée, la norme de délégation prévue à l'art. 55 LFINMA ainsi que l'art. 46a LOGA, le Conseil fédéral a précisé les principes régissant la perception de ces émoluments dans l'ordonnance sur les émoluments et les taxes de la FINMA du 15 octobre 2008 (Oém-FINMA, RS 956.122). Dite ordonnance prévoit que, dans la mesure du possible, la FINMA impute ses coûts directement à l'un de ses domaines de surveillance et que les coûts imputés à un domaine de surveillance sont en premier lieu couverts par les émoluments perçus dans ce domaine de surveillance (art. 3 al. 1 et 4 al. 1 Oém-FINMA). Est tenue de payer des émoluments toute personne qui provoque une décision ou provoque une procédure de surveillance qui ne débouche pas sur une décision ou qui est classée ou sollicite une prestation de la FINMA (art. 5 al. 1 let. a à c Oém-FINMA). Le calcul des émoluments se fonde sur les tarifs fixés dans l'annexe (art. 8 al. 1 Oém-FINMA). La FINMA fixe les émoluments à payer dans le respect des tarifs-cadres arrêtés dans l'annexe, en fonction du temps moyen consacré à une tâche de même nature et de l'importance de l'affaire pour la personne assujettie (art. 8 al. 2 Oém-FINMA) ; le tarif prévu pour la procédure d'autorisation sur la base de l'art. 14 LBA est de Fr. 500.- à Fr. 10'000.- (ch. 6.1 de l'annexe à l'Oém-FINMA). Pour les décisions, les procédures de surveillance et les prestations pour lesquelles aucun tarif n'est fixé dans l'annexe, l'émolument est calculé en fonction du temps consacré et de l'importance de l'affaire pour la personne assujettie (art. 8 al. 3 Oém-FINMA) ; le tarif horaire retenu pour les émoluments varie de Fr. 100.- à Fr. 500.- selon la fonction occupée au sein de la FINMA par les personnes chargées de l'affaire et l'importance de l'affaire pour la personne assujettie (art. 8 al. 4 Oém-FINMA).</w:t>
      </w:r>
    </w:p>
    <w:p>
      <w:r>
        <w:rPr>
          <w:b/>
        </w:rPr>
        <w:t>E. 3.2</w:t>
      </w:r>
    </w:p>
    <w:p>
      <w:r>
        <w:t>Il ressort du message du Conseil fédéral du 1er février 2006 concernant la loi fédérale sur l'Autorité fédérale de surveillance des marchés financiers la volonté formelle du législateur tendant à ce que les taxes et émoluments prélevés auprès des assujettis couvrent la totalité des coûts de la FINMA (cf. FF 2006 2741, spéc. 2755 s. et 2780 ; rapport explicatif concernant l'Ordonnance sur les émoluments de la FINMA de l'Administration fédérale des finances [AFF] du 6 mars 2008 p. 1 [ci-après : le rapport explicatif de l'AFF], consultable sur http:// www.admin.ch/ch/f/gg/pc/documents/1608/Bericht_Oem_FINMA.pdf). Le message admet en outre la fixation des taxes et émoluments dans la mesure du possible selon le principe de la causalité (cf. FF 2006 2756) ; sur ce point, la reprise du principe du pollueur-payeur a été expressément évoquée lors des débats parlementaires (cf. BO 2007 N 82, intervention de Charles Favre). Dès lors, les frais sont répartis en application du principe de l'utilisateur payeur ou du principe de celui qui succombe (cf. rapport explicatif de l'AFF p. 4). Par ailleurs, l'expression « chaque procédure de surveillance » figurant à l'art. 15 al. 1 LFINMA a été choisie pour tenir compte des situations dans lesquelles la procédure ne débouche sur aucune décision formelle, voire lorsqu'elle s'achève par une suspension. Dans ce cas de figure, le Conseil fédéral constate que si la décision de suspendre n'engage que peu de frais, l'enquête qui l'a précédée peut s'avérer coûteuse ; ainsi, grâce à la formulation choisie, cette enquête pourra aussi être financée par des émoluments. Ce système de couverture des frais pourrait également se justifier par l'application du principe selon lequel les frais de procédure sont imputés à la partie déboutée ou susceptible de l'être (cf. message, FF 2006 2780).</w:t>
      </w:r>
    </w:p>
    <w:p>
      <w:r>
        <w:rPr>
          <w:b/>
        </w:rPr>
        <w:t>E. 3.3</w:t>
      </w:r>
    </w:p>
    <w:p>
      <w:r>
        <w:t>En l'espèce, l'autorité inférieure a fondé la perception d'un émolument à hauteur de Fr. 1'800.- sur les art. 15 LFINMA et 5 ss Oém-FINMA, spécialement l'art. 8 Oém-FINMA. Dans sa réponse du 2 septembre 2010, elle s'est également référée au ch. 6.1 de l'annexe à l'Oém-FINMA fixant le tarif cadre en cas de procédure d'autorisation selon l'art. 14 LBA de Fr. 500.- à Fr. 10'000.-.</w:t>
      </w:r>
    </w:p>
    <w:p>
      <w:r>
        <w:rPr>
          <w:b/>
        </w:rPr>
        <w:t>E. 3.4</w:t>
      </w:r>
    </w:p>
    <w:p>
      <w:r>
        <w:t>Dans ces conditions, force est de reconnaître que les art. 15 et 55 LFINMA en relation avec l'art. 8 al. 1 et 2 Oém-FINMA ainsi que le ch. 6.1 de son annexe correspondent en tout point à la volonté exprimée par le législateur et constituent une base légale suffisante à la perception d'un émolument en cas de classement d'une procédure provoquée par celui requérant une autorisation selon l'art. 14 LBA suite au retrait de la requête. Il sied de relever au demeurant que les dispositions légales n'exigent pas que les assujettis soient avertis de la perception d'un émolument en début de procédure ou lors de la requête de prestation.</w:t>
      </w:r>
    </w:p>
    <w:p>
      <w:r>
        <w:rPr>
          <w:b/>
        </w:rPr>
        <w:t>E. 4</w:t>
      </w:r>
    </w:p>
    <w:p>
      <w:r>
        <w:t>La perception d'un émolument doit en outre respecter les principes de couverture des coûts et d'équivalence.</w:t>
      </w:r>
    </w:p>
    <w:p>
      <w:r>
        <w:rPr>
          <w:b/>
        </w:rPr>
        <w:t>E. 4.1</w:t>
      </w:r>
    </w:p>
    <w:p>
      <w:r>
        <w:t>Le principe de couverture des coûts prescrit que le produit global des taxes doit correspondre aux dépenses du secteur administratif dans le cadre duquel l'activité ou la prestation publique ont été fournies. Dans ce contexte, les recettes ne doivent pas dépasser sensiblement les dépenses (cf. ATF 126 I 180 consid. 3a ; Pierre Moor, Droit administratif, vol. III, Berne 1992, p. 368). La volonté claire et expresse du législateur énoncée précédemment (cf. supra consid. 3.2.) tendait à ce que la FINMA soit indépendante sur le plan financier et que ses coûts soient entièrement couverts par les émoluments et taxes perçus auprès des personnes soumises à sa surveillance (cf. ATAF 2008/56 consid. 4.4 et les réf. cit. ; message, FF 2006 2780) ; elle a été transposée directement dans la LFINMA dont l'art. 15 prévoit la perception d'émoluments pour chaque procédure de surveillance et pour les prestations fournies ainsi que celle de taxes pour les coûts non couverts par les émoluments. Ainsi, il existe une base légale suffisante pour que le Conseil fédéral, bénéficiant de la compétence d'édicter les dispositions d'exécution (art. 15 et 55 LFINMA ; cf. supra consid. 3.1.), prescrive dans l'Oém-FINMA un haut degré de couverture des coûts et introduise, en plus de l'importance de l'affaire pour la personne concernée, le critère du « temps moyen consacré à une tâche de même nature » s'agissant de fixer le montant de l'émolument dans un cas particulier. Dès lors que l'autorité inférieure fonde la fixation des émoluments qu'elle perçoit sur le temps effectivement consacré, clairement délimité et objectivement nécessaire à ses collaborateurs pour le traitement d'un cas particulier en relation avec le montant total des coûts au sens de l'art. 4 al. 2 OGEmol et que l'émolument ne dépasse pas ses propres charges, il faut reconnaître que le principe de couverture des coûts n'est pas violé.</w:t>
      </w:r>
    </w:p>
    <w:p>
      <w:r>
        <w:rPr>
          <w:b/>
        </w:rPr>
        <w:t>E. 4.2.1</w:t>
      </w:r>
    </w:p>
    <w:p>
      <w:r>
        <w:t>Selon le principe de l'équivalence, le montant de chaque émolument doit être en rapport avec la valeur objective de la prestation fournie et rester dans des limites raisonnables (cf. ATF 120 Ia 171 consid. 2a, ATF 118 Ib 349 consid. 5 et la jurisprudence citée). La valeur de la prestation se mesure soit à son utilité pour le contribuable, soit à son coût par rapport à l'ensemble des dépenses de l'activité administrative en cause (cf. ATF 118 Ib 349 consid. 5, ATF 109 Ib 308 consid. 5b).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(cf. ATF 120 Ia 171 consid. 2a et les réf. cit.).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(cf. ATF 106 Ia 241 consid. 3b et 249 consid. 3a). En matière d'émoluments perçus par la FINMA, le cadre tarifaire pour les décisions et les activités de surveillance se trouve défini à l'annexe de l'ordonnance. L'émolument se détermine dans les limites dudit cadre, en fonction de valeurs moyennes représentatives pour les procédures et les décisions récurrentes de nature similaire. Différentes valeurs moyennes peuvent également être utilisées à l'intérieur d'une fourchette, par exemple afin de faire la distinction entre les procédures de petite, moyenne ou grande ampleur. La différenciation des valeurs moyennes sera suffisamment précise à l'intérieur du cadre pour permettre une perception équitable des émoluments. Le calcul de ces valeurs se fonde sur le temps moyen consacré et l'importance de l'affaire pour la personne assujettie (cf. rapport explicatif de l'AFF, p. 4).</w:t>
      </w:r>
    </w:p>
    <w:p>
      <w:r>
        <w:rPr>
          <w:b/>
        </w:rPr>
        <w:t>E. 4.2.2</w:t>
      </w:r>
    </w:p>
    <w:p>
      <w:r>
        <w:t>La recourante a déposé une requête d'autorisation selon l'art. 14 LBA. Or, vu que le ch. 6.1 précité prévoyant un émolument devant se situer entre Fr. 500.- et Fr. 10'000.- s'agissant de telles procédures laisse une large marge de manoeuvre à la FINMA lors de la fixation de l'émolument, ce dernier se déterminera, dans le cadre ainsi délimité, en fonction du temps moyen consacré à une tâche de même nature et de l'importance de l'affaire pour la personne assujettie (cf. également art. 8 al. 2 Oém-FINMA). En l'espèce, la FINMA a joint à sa réponse du 2 septembre 2010 la liste détaillée des activités engendrées par la requête de la recourante ainsi que les coûts générés par chacune d'elles pour la collaboratrice en charge de son traitement. Il en ressort que celle-ci a travaillé sur l'affaire durant 6.5 heures pour des coûts s'élevant à Fr. 1'852.50. Ainsi que l'a relevé l'autorité inférieure, cela correspond à un tarif horaire de Fr. 285.-. La FINMA a en outre précisément exposé les motifs pour lesquels les éclaircissements entrepris durant ce temps s'avéraient nécessaires. Elle note sur ce point que compte tenu des tâches conférées par la LFINMA et l'activité que souhaitait exercer la recourante, elle ne pouvait pas se concentrer sur la seule question de savoir si une autorisation octroyée selon la loi sur le blanchiment d'argent équivalait à une surveillance prudentielle. Elle ajoute qu'en raison des circonstances particulières, il lui appartenait d'examiner de toute façon la présence ou non d'une activité ressortissant aux lois sur les marchés financiers et soumise à la surveillance. Elle explique par ailleurs que la recourante avait cherché à obtenir une autorisation au sens de la LBA, raison pour laquelle son modèle d'affaires a fait l'objet d'un examen approfondi vu que des changements importants auraient pu se produire dans l'activité commerciale de la recourante depuis la procédure achevée en 2008. Elle expose au demeurant que la requête adressée par la recourante a nécessité diverses recherches et donné lieu à un échange nourri de courriers avec elle outre que les documents ont dû être examinés ; cela aurait permis de conclure à ce que l'activité de la recourante - pour autant qu'elle corresponde à celle examinée une fois déjà lors des procédures précédentes - n'était pas non plus soumise à l'obligation d'assujettissement au sens de la loi sur le blanchiment. Elle observe de surcroît que la recourante s'est adressée une nouvelle fois à l'autorité de surveillance alors qu'elle était consciente du fait que son activité restait inchangée. Elle signale aussi que dans le cadre des recherches, la recourante a produit, à sa demande expresse et en plusieurs étapes, divers documents qu'il a fallu étudier pour déterminer l'obligation d'assujettissement au sens de la LBA. En ce qui concerne le caractère proportionné des émoluments, l'autorité inférieure mentionne qu'une procédure d'autorisation de moyenne importance entraîne des émoluments de Fr. 3'000.-. Elle expose qu'en l'espèce, si la procédure est devenue caduque à la suite du retrait de la demande, les recherches avaient presque été entièrement effectuées et auraient de toute façon justifié un dispositif relatif aux émoluments portant sur un montant supérieur. Elle ajoute que l'émolument mis à la charge de la recourante, à hauteur de Fr. 1'800.-, s'avérait de 30 % inférieur à ceux entraînés par des procédures d'autorisation telles que décrites ci-dessus bien que la prestation fournie ait été quasiment de valeur égale en termes de charge de travail. Relevant encore que l'émolument mis à la charge de la recourante ne représente même pas 20 % du montant légal maximal prévu, elle estime qu'il ne saurait être qualifié de disproportionné.</w:t>
      </w:r>
    </w:p>
    <w:p>
      <w:r>
        <w:rPr>
          <w:b/>
        </w:rPr>
        <w:t>E. 4.2.3</w:t>
      </w:r>
    </w:p>
    <w:p>
      <w:r>
        <w:t>À la lumière des principes évoqués précédemment et des explications détaillées apportées par la FINMA, force est de reconnaître que celle-ci a démontré de manière suffisante et convaincante que le travail fourni s'était révélé justifié au regard des questions soulevées et des circonstances du cas d'espèce. En outre, une durée de 6.5 heures pour l'examen d'un cas particulier, à un tarif horaire de Fr. 285.- n'apparaît pour le moins pas critiquable. En conséquence, il convient d'admettre que l'émolument mis à la charge de la recourante par la FINMA d'un montant de Fr. 1'800.- reste dans des limites raisonnables.</w:t>
      </w:r>
    </w:p>
    <w:p>
      <w:r>
        <w:rPr>
          <w:b/>
        </w:rPr>
        <w:t>E. 4.3</w:t>
      </w:r>
    </w:p>
    <w:p>
      <w:r>
        <w:t>L'émolument ne contrevenant dès lors ni au principe de couverture des coûts, ni à celui de l'équivalence, il s'ensuit que le grief de la recourante est mal fondé.</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500.-, doivent être intégralement mis à sa charge. Ils seront compensés par l'avance de frais de Fr. 500.- d'ores et déjà versée par la recourante.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