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B-5037/2021 vom 15. Oktober 2021</w:t>
      </w:r>
    </w:p>
    <w:p>
      <w:r>
        <w:t>Bundesverwaltungsgericht, 2021-10-15, DE</w:t>
      </w:r>
    </w:p>
    <w:p>
      <w:r>
        <w:rPr>
          <w:b/>
        </w:rPr>
        <w:t xml:space="preserve">Quelle: </w:t>
      </w:r>
      <w:r>
        <w:t>https://mcp.opencaselaw.ch/entscheid/bvger_B-5037_2021_d20211015</w:t>
      </w:r>
    </w:p>
    <w:p>
      <w:r>
        <w:t>FR: TAF B-5037/2021 du 15 octobre 2021</w:t>
      </w:r>
    </w:p>
    <w:p>
      <w:r>
        <w:t>IT: TAF B-5037/2021 del 15 ottobre 2021</w:t>
      </w:r>
    </w:p>
    <w:p>
      <w:pPr>
        <w:pStyle w:val="Heading2"/>
      </w:pPr>
      <w:r>
        <w:t>Regeste</w:t>
      </w:r>
    </w:p>
    <w:p>
      <w:r>
        <w:t>Zulassung Pflanzenschutzmittel | Zulassung Pflanzenschutzmittel, Bewilligung Concert SX (P9030, W-7290);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B-5037/2021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die Beschwer- deschrift enthält hierzu keinen Antrag und keine Ausführungen.</w:t>
      </w:r>
    </w:p>
    <w:p>
      <w:r>
        <w:rPr>
          <w:b/>
        </w:rPr>
        <w:t>E. 5.1</w:t>
      </w:r>
    </w:p>
    <w:p>
      <w:r>
        <w:t>Pflanzenschutzmittel sind landwirtschaftliche Produktionsmittel, denn sie dienen der landwirtschaftlichen Produktion (Art. 158 Abs. 1 LwG). Pro-</w:t>
      </w:r>
    </w:p>
    <w:p>
      <w:r>
        <w:t>B-5037/2021 Seite 7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w:t>
      </w:r>
    </w:p>
    <w:p>
      <w:r>
        <w:t>B-5037/2021 Seite 8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w:t>
      </w:r>
    </w:p>
    <w:p>
      <w:r>
        <w:t>B-5037/2021 Seite 9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w:t>
      </w:r>
    </w:p>
    <w:p>
      <w:r>
        <w:t>B-5037/2021 Seite 10</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w:t>
      </w:r>
    </w:p>
    <w:p>
      <w:r>
        <w:t>B-5037/2021 Seite 11 jeweils betroffenen Pflanzenschutzmittels (Art. 34 Abs. 3 Bst. a PSMV). Die Parteien stimmen im vorliegenden Verfahren darin überein, dass die bewil- ligten Verwendungen von B._______ in Korn (Dinkel), Hartweizen, Emmer und Lein gemäss Art. 3 Abs. 1 Bst. x PSMV als geringfügig ("Minor Uses") zu gelten haben und dementsprechend hinsichtlich dieser Nebenanwen- dungen gemäss Art. 34 Abs. 3 Bst. a PSMV keine vergleichende Bewer- 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w:t>
      </w:r>
    </w:p>
    <w:p>
      <w:r>
        <w:t>B-5037/2021 Seite 12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w:t>
      </w:r>
    </w:p>
    <w:p>
      <w:r>
        <w:t>B-5037/2021 Seite 13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w:t>
      </w:r>
    </w:p>
    <w:p>
      <w:r>
        <w:t>B-5037/2021 Seite 14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w:t>
      </w:r>
    </w:p>
    <w:p>
      <w:r>
        <w:t>B-5037/2021 Seite 15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w:t>
      </w:r>
    </w:p>
    <w:p>
      <w:r>
        <w:t>B-5037/2021 Seite 16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und G._______), Tribenuron-methyl (enthalten u.a. im Produkt H._______) sowie Tritosulfuron (enthalten u.a. im Produkt I._______). Alle diese Produkte seien, wie dies auch für B._______ der Fall sei, für die Nachauflauf-Anwendung in Getreide bewilligt. Somit stünden auch nach dem Widerruf der Verwendung von B._______ in Weichweizen,</w:t>
      </w:r>
    </w:p>
    <w:p>
      <w:r>
        <w:t>B-5037/2021 Seite 17 Gerste, Hafer, Triticale und Roggen für die Bekämpfung von Unkräutern in Getreide mehrere alternative Produkte aus derselben Wirkstoffklasse zur Verfügung. Eine unerwünschte Reduktion der chemischen Vielfalt finde so- 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Emmer und Lein berücksichtigt worden seien. Würde die Bewilligungsin- haberin aufgrund des Widerrufs ihr Interesse an einer Bewilligung für den Einsatz von B._______ für die geringfügigen Verwendungen verlieren, gäbe es analog der "Major Uses" auch für die "Minor Uses" genügend al- ternative Pflanzenschutzmittel. Art. 34 Abs. 1 Bst. d PSMV sei vorliegend daher erfüllt.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w:t>
      </w:r>
    </w:p>
    <w:p>
      <w:r>
        <w:t>B-5037/2021 Seite 18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 sprechend betitelte und erläuternde Passage zur Frage enthalten, weshalb die Vorinstanz D._______ bzw. Amidosulfuron aIs «Alternative» zum Pflan-</w:t>
      </w:r>
    </w:p>
    <w:p>
      <w:r>
        <w:t>B-5037/2021 Seite 19 zenschutzmittel B._______ mit dem Wirkstoff Metsulfuron-methyl identifi- 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w:t>
      </w:r>
    </w:p>
    <w:p>
      <w:r>
        <w:t>B-5037/2021 Seite 20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(4 %) und Thifensulfuron-methyl (40 %) enthalte und mit 100 g Pro- dukt/ha (entspreche 4 g Metsulfuron-methyl und 40 g Thifensulfuron-me- thyl) in Getreide und Lein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w:t>
      </w:r>
    </w:p>
    <w:p>
      <w:r>
        <w:t>B-5037/2021 Seite 21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w:t>
      </w:r>
    </w:p>
    <w:p>
      <w:r>
        <w:t>B-5037/2021 Seite 22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w:t>
      </w:r>
    </w:p>
    <w:p>
      <w:r>
        <w:t>B-5037/2021 Seite 23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(4 %) und Thifensulfuron-methyl (40 %) enthalte und mit 100 g Produkt/ha (entspreche 4 g Metsulfuron-methyl und 40 g Thifensulfuron-methyl) in Getreide und Lein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B-5041/2021 und 5042/2021 eingeschrieben hat, auf</w:t>
      </w:r>
    </w:p>
    <w:p>
      <w:r>
        <w:t>B-5037/2021 Seite 24 Fr. 1'500.– festgesetzt (Art. 63 Abs. 4bis VwVG, Art. 2 Abs. 1 VGKE). Der geleistete Kostenvorschuss in gleicher Höhe ist zur Bezahlung der Verfah- renskosten zu verwenden. Eine Parteientschädigung wird bei diesem Verfahrensausgang nicht zuge- sprochen (Art. 64 Abs. 1 VwVG).</w:t>
      </w:r>
    </w:p>
    <w:p>
      <w:r>
        <w:t>B-5037/2021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