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B-502/2009 vom 3. November 2009</w:t>
      </w:r>
    </w:p>
    <w:p>
      <w:r>
        <w:t>Bundesverwaltungsgericht, 2009-11-03, FR</w:t>
      </w:r>
    </w:p>
    <w:p>
      <w:r>
        <w:rPr>
          <w:b/>
        </w:rPr>
        <w:t xml:space="preserve">Quelle: </w:t>
      </w:r>
      <w:r>
        <w:t>https://mcp.opencaselaw.ch/entscheid/bvger_B-502_2009</w:t>
      </w:r>
    </w:p>
    <w:p>
      <w:r>
        <w:t>FR: TAF B-502/2009 du 3 novembre 2009</w:t>
      </w:r>
    </w:p>
    <w:p>
      <w:r>
        <w:t>IT: TAF B-502/2009 del 3 novembre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de l'Institut Fédéral de la Propriété Intellectuelle est une décision sur opposition au sens de l'art. 5 al. 2 PA émanant d'une autorité au sens de l'art. 33 let. e LTAF. Aucune des exceptions mentionnées à l'art. 32 LTAF n'étant par ailleurs réalisée, le Tribunal administratif fédéral est dès lors compétent pour statuer sur les présents recours.</w:t>
      </w:r>
    </w:p>
    <w:p>
      <w:r>
        <w:rPr>
          <w:b/>
        </w:rPr>
        <w:t>E. 1.2</w:t>
      </w:r>
    </w:p>
    <w:p>
      <w:r>
        <w:t>Les recourantes, qui ont pris part à la procédure devant l'autorité inférieure, sont spécialement atteintes par cette décision et ont un intérêt digne de protection à son annulation ou à sa modification. La qualité pour recourir doit dès lors leur être reconnue (art. 48 al. 1 let. a à c PA).</w:t>
      </w:r>
    </w:p>
    <w:p>
      <w:r>
        <w:rPr>
          <w:b/>
        </w:rPr>
        <w:t>E. 1.3</w:t>
      </w:r>
    </w:p>
    <w:p>
      <w:r>
        <w:t>Les dispositions relatives à la représentation, au délai de recours, à la forme et au contenu du mémoire de recours (art. 11, 22a al. 1 let. c, 50 et 52 al. 1 PA), ainsi que les autres conditions de recevabilité (art. 44 ss et 63 al. 4 PA) sont en outre respectées. Les recours sont ainsi recevables.</w:t>
      </w:r>
    </w:p>
    <w:p>
      <w:r>
        <w:rPr>
          <w:b/>
        </w:rPr>
        <w:t>E. 2</w:t>
      </w:r>
    </w:p>
    <w:p>
      <w:r>
        <w:t>La marque est un signe propre à distinguer les produits ou les services d'une entreprise de ceux d'autres entreprises (art. 1 al. 1 de la loi fédérale du 28 août 1992 sur la protection des marques (LPM, RS 232.11). A teneur de l'art. 3 al. 1 let. c LPM, sont exclus de la protection comme marque les signes similaires à une marque antérieure et destinés à des produits ou services identiques ou similaires, lorsqu'il en résulte un risque de confusion. En l'espèce, il n'est pas contesté que l'enregistrement international no 918'340 "Premium ingredients, s.l." (fig.), inscrit au registre international le 27 novembre 2006 et bénéficiant d'une priorité selon la Convention de Paris pour la protection de la propriété industrielle révisée à Stockholm le 14 juillet 1967 (RS 0.232.04) au 22 septembre 2006, est antérieur à la marque suisse no 563'528 "Premium Ingredients International" (fig.) déposée le 28 septembre 2007.</w:t>
      </w:r>
    </w:p>
    <w:p>
      <w:r>
        <w:rPr>
          <w:b/>
        </w:rPr>
        <w:t>E. 3</w:t>
      </w:r>
    </w:p>
    <w:p>
      <w:r>
        <w:t>Pour l'appréciation du risque de confusion, il convient de prendre en considération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[TAF] B-8011/2007 du 24 octobre 2008 consid. 3 EMOTION/e motion). En l'occurrence, il y a lieu d'admettre, à l'instar des recourantes, que les services revendiqués par les marques en présence en classes 35 et 39 sont destinés de manière prépondérante aux professionnels, à savoir aux grossistes ou industriels. Il s'agit dès lors d'une catégorie de consommateurs qui fera preuve d'un degré d'attention supérieur à la moyenne lors de l'utilisation de tels services, ce qui tend à réduire le risque de confusion (Kamen Troller, Précis du droit suisse des biens immatériels, Bâle 2006, p. 90).</w:t>
      </w:r>
    </w:p>
    <w:p>
      <w:r>
        <w:rPr>
          <w:b/>
        </w:rPr>
        <w:t>E. 4</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de la marque par des entreprises liées entre elles (Lucas David, Kommentar zum schweizerischen Privatrecht, Markenschutzgesetz, Muster- und Modellgesetz, 2e éd., Bâle 1999, MSchG, n°s 8 et 35 ad art. 3 ; arrêt du TAF B-3268/2007 du 25 janvier 2008 consid. 3.1 MBR/MR). Une similarité entre les services est admise lorsque le consommateur comprendra ceux-ci comme formant raisonnablement un ensemble de prestations ou qu'il pourra qualifier les uns comme la conséquence logique des autres. Un pur parallèle spatial ou temporel des offres n'est pas de nature à fonder une similarité entre les services (Eugen Marbach, Schweizerisches Immaterialgüter- und Wettbewerbsrecht, Markenrecht, vol. III, 2e éd., Bâle 2009, p. 262 [cit. Marbach, Markenrecht] ; décision de l'ancienne Commission de recours en matière de propriété intellectuelle [CREPI] du 8 avril 2004 in sic! 2004 778 consid. 5 Yello/Yellow). Le même savoir-faire spécifique (know-how), le même but général, la proximité des domaines d'application, la substituabilité, la complémentarité, le même cercle de consommateurs ou encore le fait qu'il s'agisse de services fréquemment offerts en combinaison par des entreprises d'une certaine branche sont des éléments habituellement retenus comme indices de similarité des services par la doctrine et la jurisprudence (Ivan Cherpillod, Le droit suisse des marques, Lausanne 2007, p. 121). Toutefois, aucun de ces critères n'est en soi déterminant et suffisant et chaque cas doit être examiné séparément (arrêt du TAF B-7485/2006 du 4 février 2008 consid. 6 Booster/Turbo Booster). L'appartenance des services revendiqués à la même classe internationale selon l'accord de Nice ne suffit pas pour les déclarer similaires mais constitue néanmoins également un indice à prendre en compte (arrêt du TAF précité B-7485/2006 consid. 6 Booster/Turbo booster ; Eugen Marbach, Gleichartigkeit - ein markenrechtlicher Schlüsselbegriff ohne Konturen ? in : Revue de droit suisse [RDS] 120 [2001] p. 264 ss [cit. Marbach, Gleichartigkeit] ; Marbach, op. cit., Markenrecht, p. 246 ss).</w:t>
      </w:r>
    </w:p>
    <w:p>
      <w:r>
        <w:rPr>
          <w:b/>
        </w:rPr>
        <w:t>E. 4.1</w:t>
      </w:r>
    </w:p>
    <w:p>
      <w:r>
        <w:t>Dans le cadre de la comparaison des services revendiqués par les marques en présence en classe 39, on peut tout d'abord constater que la marque attaquée reprend à l'identique les libellés "transport" (Transport) et "entreposage" (Lagerung) des services enregistrés en classe 39 par la marque opposante. Quant à la prestation de services intitulée "Versendung", revendiquée en classe 39 par la marque attaquée, elle peut être traduite en français par "envoi" ou "expédition" (Langenscheidt, Handwörterbuch Französisch, dictionnaire Français-Allemand/Allemand-Français, 2006, p. 1423). L'expédition est l'opération par laquelle on assure le départ (des marchandises, du courrier) en vue de leur acheminement vers une destination (Le nouveau Petit Robert de la langue française 2007, p. 980). En conséquence, il convient d'admettre que l'expédition de marchandises est similaire au transport de celles-ci ou, du moins, à leur préparation en vue de leur déplacement, comme par exemple leur emballage. Par conséquent, il sied de reconnaître que les libellés des classes 39 des marques en conflit sont similaires. Enfin, il convient également de constater que les marchandises inscrites dans le libellé de la classe 39 de la marque attaquée (notamment Zutaten für die Lebensmittel-, Ernährungsindustrie) couvrent les marchandises faisant l'objet des services revendiqués en classe 39 par la marque opposante. Il s'ensuit que les services en cause requièrent le même savoir-faire, poursuivent le même but général, s'adressent au même cercle de consommateurs, sont interchangeables et ont des domaines d'application proches. L'ensemble de ces éléments constitue ainsi un indice à prendre en compte en faveur de la similarité, de même que l'appartenance des services en cause à la même classe internationale. Sur le vu de ce qui précède, il convient de conclure à la similarité, voire à la quasi-identité, des services concernés.</w:t>
      </w:r>
    </w:p>
    <w:p>
      <w:r>
        <w:rPr>
          <w:b/>
        </w:rPr>
        <w:t>E. 4.2</w:t>
      </w:r>
    </w:p>
    <w:p>
      <w:r>
        <w:t>Il convient également d'examiner si les services de la classe 39 de la marque opposante et les services de la classe 35 de la marque attaquée peuvent être tenus pour similaires, étant établi que les produits, objet des services revendiqués par la marque attaquée en classe 35, couvrent les produits contenus dans le libellé de la classe 39 de la marque opposante.</w:t>
      </w:r>
    </w:p>
    <w:p>
      <w:r>
        <w:rPr>
          <w:b/>
        </w:rPr>
        <w:t>E. 4.2.1</w:t>
      </w:r>
    </w:p>
    <w:p>
      <w:r>
        <w:t>La recourante 1 soutient qu'en pratique, le transport de marchandises est toujours exécuté par des tiers et que le transport des marchandises par le vendeur représente une exception absolue. Elle ajoute que le transport se rapporte au mouvement tandis que l'import-export est une pure activité de bureau et que les sociétés de transport s'occupent uniquement du transport. De son côté, la recourante 2 relève que les services d'import-export constituent une activité présentant par essence une caractéristique internationale, liée au passage des frontières et impliquant un mouvement des marchandises concernées. Cette notion de mouvement étant ainsi extrêmement dépendante de l'activité de livraison et de transport, rangée quant à elle en classe 39. Elle mentionne également l'existence des Incoterms ("International Commercial Terms"), lesquels régissent, dans le cadre de ventes internationales, les obligations des vendeur et acheteur, notamment en regard du chargement, du transport, du type de transport, des assurances et de la livraison. Elle indique que, selon une pratique largement répandue et communément admise et appliquée en Suisse, les entités qui offrent des services d'import-export s'occupent aussi du transport des produits, soit via leur propre service de transport, soit en faisant appel aux services de tiers. Elle relève que c'est en particulier toujours le cas lorsque la transaction est stipulée "Franco Domicile", ce qui représente une partie importante du mode de circulation des biens en et vers la Suisse. Elle cite à cet effet la société d'import-export Cargill International SA qui prend en charge le transport des marchandises importées/exportées. Elle précise ensuite que les services de transport ont une forte composante administrative dès lors qu'un transporteur ne se contente pas d'acheminer le produit d'un endroit à un autre mais se charge également des formalités légales, douanières et fiscales. Elle considère que ce lien étroit entre la vente et le transport résulte en général du fait que le vendeur supporte les risques liés à la chose jusqu'à ce que l'acheteur en ait pris possession, la propriété et les risques étant alors transférés. Aussi, la recourante 2 considère que le public concerné par ce domaine est amené à penser que ces deux types de services ont une même origine commerciale et économique lorsqu'ils sont rendus sous des marques fortement similaires.</w:t>
      </w:r>
    </w:p>
    <w:p>
      <w:r>
        <w:rPr>
          <w:b/>
        </w:rPr>
        <w:t>E. 4.2.2</w:t>
      </w:r>
    </w:p>
    <w:p>
      <w:r>
        <w:t>Les services d'import-export revendiqués par la marque attaquée sont enregistrés en classe 35 selon la Classification de Nice. Cette classe englobe notamment la gestion des affaires commerciales, l'administration commerciale et les travaux de bureau. Comme cela a été exposé plus haut, l'appartenance des services litigieux à des classes internationales différentes ne signifie pas que les services ne peuvent pas être similaires. L'import-export est défini comme étant le commerce international de produits importés et exportés (Le nouveau Petit Robert de la langue française 2007, Paris 2007, p. 1289) ou encore comme une activité commerciale qui a pour objet l'acquisition de produits en provenance de l'étranger et la vente des produits nationaux à l'étranger (Grand Larousse Universel, vol. 8, 1991, p. 5494). En l'espèce, l'activité d'import-export, pour laquelle la marque attaquée est enregistrée en classe 35, est exercée au profit de tiers ("...auf Bestellung und Spezifikation von Dritten"). En cela, il s'agit d'une prestation de services, raison pour laquelle elle est inscrite dans la classe 35 de la Classification de Nice. La comparaison des services des classes 35 et 39 à la lumière des éléments habituellement retenus comme indices fait apparaître que ceux-ci ne sont en premier lieu pas interchangeables et ne requièrent pas le même savoir-faire. Ces critères parlent en défaveur de la similarité des services. De manière générale, l'achat ou la vente d'une marchandise, que ce soit à l'étranger ou à l'intérieur de la Suisse, implique que celle-ci soit transférée à l'acquéreur. Dans le cadre d'un commerce international de produits importés et exportés à la demande et sur spécification de tiers, la marchandise sera la plupart du temps livrée à l'acheteur. Partant, il convient d'admettre que les services d'import-export et de transport sont complémentaires, les seconds constituant la conséquence logique des premiers. En l'occurrence, il n'en va pas autrement pour les marchandises faisant l'objet des services litigieux. Cet indice parle dès lors en faveur de la similarité. En outre, il convient d'admettre que, dans la pratique, il est usuel que des sociétés d'import-export prennent également en charge la livraison de la marchandise, que ce soit par l'intermédiaire de leur propre service de transport ou qu'elles chargent un tiers de cette tâche. C'est par ailleurs le cas de la société recourante 1 qui revendique sous la marque "Premium Ingredients International" des services d'import-export et de transport. Ces services forment ainsi en pratique un ensemble de prestations, ce qui constitue un indice supplémentaire en faveur de la similarité. Enfin, comme cela a été examiné plus haut (voir consid. 3), le cercle des consommateurs visés par les services litigieux est le même, ce qui parle également pour la similarité des services. En regard des indices examinés ci-dessus, la similarité à tout le moins éloignée entre les services de la classe 35 de la marque attaquée et ceux de la classe 39 de la marque opposante doit également être admise, contrairement à ce qu'a considéré l'IPI.</w:t>
      </w:r>
    </w:p>
    <w:p>
      <w:r>
        <w:rPr>
          <w:b/>
        </w:rPr>
        <w:t>E. 5</w:t>
      </w:r>
    </w:p>
    <w:p>
      <w:r>
        <w:t>Il convient dès lors d'examiner la similarité entre les signes afin d'apprécier s'il existe un risque de confusion entre les services des marques en présence. Il est établi de jurisprudence constante que c'est l'impression générale qui est déterminante car c'est elle qui reste dans l'esprit des personnes concernées (ATF 128 III 441 consid. 3.1 Appenzeller).</w:t>
      </w:r>
    </w:p>
    <w:p>
      <w:r>
        <w:rPr>
          <w:b/>
        </w:rPr>
        <w:t>E. 5.1</w:t>
      </w:r>
    </w:p>
    <w:p>
      <w:r>
        <w:t>La comparaison des signes litigieux suppose en premier lieu de s'interroger sur l'étendue de protection de la marque opposante, celle-ci étant indispensable pour estimer le risque de confusion (arrêt du TAF B-1427/2007 du 28 février 2008 consid. 6.1 Kremlyovskaya/Kremlyevka).</w:t>
      </w:r>
    </w:p>
    <w:p>
      <w:r>
        <w:rPr>
          <w:b/>
        </w:rPr>
        <w:t>E. 5.1.1</w:t>
      </w:r>
    </w:p>
    <w:p>
      <w:r>
        <w:t>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382/JdT 1997 I 231 consid. 2a Kamillosan).</w:t>
      </w:r>
    </w:p>
    <w:p>
      <w:r>
        <w:rPr>
          <w:b/>
        </w:rPr>
        <w:t>E. 5.1.1.1</w:t>
      </w:r>
    </w:p>
    <w:p>
      <w:r>
        <w:t>Un signe appartenant au domaine public, dès lors exclu de la protection légale au sens de l'art. 2 let. a LPM, est caractérisé par le fait qu'il est a priori dépourvu de force distinctive. Un signe du domaine public n'acquiert la force distinctive que si une entreprise parvient à l'imposer comme marque dans le commerce (art. 2 let. a LPM). Ce signe devient alors susceptible de protection en faveur de cette entreprise, pour autant qu'il ne soit pas assujetti au besoin de libre disposition. Il existe un tel besoin lorsque le commerce est dépendant de l'utilisation de ce signe en relation avec les produits ou services auxquels il est destiné. Appartiennent notamment au domaine public, les signes descriptifs (ATF 134 III 314 consid. 2.3 M/M-joy ; ATF 131 III 121 consid. 4 et 6 Smarties ; Marbach, op. cit., Markenrecht, p. 86 ; David, op. cit., n° 5 ad art. 2 ; Troller, op. cit., p. 102). Les désignations décrivant notamment la nature ou la qualité du produit ou du service auquel la marque s'applique font partie du domaine public. Tombent en particulier dans cette catégorie, les qualificatifs de nature publicitaire (ATF 129 III 225 consid. 5.1 Masterpiece ; Marbach, op. cit., Markenrecht, p. 96). Le rapport avec le produit ou le service doit être tel que le caractère descriptif de la marque doit être reconnaissable sans effort particulier d'imagination ou de raisonnement (ATF 128 III 454 consid. 2.1 Yukon ; David, op. cit., n° 6 ad art. 2). Ce motif d'exclusion doit être apprécié par rapport aux produits ou services pour lesquels la protection du signe est revendiquée. Dès lors, un terme courant peut constituer une marque valable s'il est utilisé pour désigner un tout autre type de produits. Il existe néanmoins certaines indications pouvant se rapporter généralement à tout produit ou service et qui seront descriptives ou dénuées de force distinctive quel que soit le produit ou le service revendiqué. Tel est le cas des indications de qualité et des affirmations publicitaires (Cherpillod, op. cit., p. 73). La jurisprudence reconnaît le besoin de libre disposition pour les expressions attribuant certaines qualités à la marchandise, telles que, en français ou transposées dans cette langue, "beau, bel, belle, super, bon, fin", pour autant que ces désignations soient descriptives en relation avec le produit concerné (ATF 131 III 121 consid. 4.2 Smarties). Il en va de même des termes de base concernant le produit ou service, tels que "pain", "chaussure", "vêtement", "laine", "coton" (ATF 64 II 244/JdT 1938 I 628). Le domaine public comprend tout le vocabulaire utilisé en Suisse (arrêt du TAF B-7424/2006 du 12 novembre 2007 consid. 3.3 Bona). Ainsi, pour qu'une désignation appartienne au domaine public, il suffit qu'elle ait un caractère descriptif dans une seule des régions linguistiques de Suisse. Des expressions de la langue anglaise peuvent entrer en considération, pour autant qu'elles soient compréhensibles pour une partie non insignifiante du public de notre pays (ATF 131 III 495 consid. 5 Felsenkeller, ATF 129 III 225 consid. 5.1 Masterpiece).</w:t>
      </w:r>
    </w:p>
    <w:p>
      <w:r>
        <w:rPr>
          <w:b/>
        </w:rPr>
        <w:t>E. 5.1.1.2</w:t>
      </w:r>
    </w:p>
    <w:p>
      <w:r>
        <w:t>La recourante 1 considère que la marque opposante est dépourvue de force distinctive. Elle allègue que celle-ci est composée des mots anglais "Premium", également utilisé en français et en allemand, et "ingredients", dont le sens est au moins immédiatement compris par les consommateurs francophones. Elle considère ainsi que les éléments verbaux de la marque opposante sont faibles et que celle-ci n'a dès lors pu être enregistrée qu'en raison d'un élément graphique particulièrement fort et marquant. Quant à la recourante 2, elle allègue que s'agissant des services de transport, la combinaison "Premium ingredients" n'indique pas ce que le destinataire desdits services recherche ou attend en relation avec cette prestation. Elle considère comme descriptives des services de transport, les indications se rapportant aux caractéristiques pertinentes du service, telles que la rapidité, la quantité de produits transportés, le prix, le moyen de transport, les Incoterms ou encore les dispositions particulières du transport compte tenu de la nature des produits transportés et qu'à cet égard, "Premium ingredients" ne répond strictement à aucune de ces interrogations. Elle ajoute enfin que "Premium ingredients" peut être évocateur du fait que si des produits, tels que des ingrédients de valeur, arrivent à destination en bon état, c'est que le service de transport est effectué avec soin. Toutefois, elle relève que le fait qu'un consommateur puisse, par association d'idées, imaginer des caractéristiques aux produits ou services ne permet pas de taxer la marque de descriptive et restreindre ainsi son champ de protection. L'IPI considère quant à lui que les mots "Premium" et "Ingredients" comportent une allusion à "excellent" et "ingrédients" mais que la combinaison des deux éléments, mise en rapport avec les services de la classe 39, forme un tout indéterminé qui dispose d'un champ de protection normal.</w:t>
      </w:r>
    </w:p>
    <w:p>
      <w:r>
        <w:rPr>
          <w:b/>
        </w:rPr>
        <w:t>E. 5.1.1.3</w:t>
      </w:r>
    </w:p>
    <w:p>
      <w:r>
        <w:t>Placé avant le nom "ingredients", le terme "Premium" doit être compris dans son acception d'adjectif, lequel signifie en anglais "de qualité supérieure" (Le Robert &amp; Collins, dictionnaire Français-Anglais/Anglais-Français, 1998, 5e éd., p. 1690). S'agissant des signes formés de termes anglophones, la jurisprudence considère que les consommateurs suisses possèdent au moins le vocabulaire de base anglais (arrêt du TAF B-7468/2006 du 6 septembre 2007 consid. 5.1 Seven/Seven for all mankind). En l'espèce, il n'est pas contesté que le mot "Premium" appartienne au vocabulaire de base anglais compréhensible par le consommateur moyen visé par les services revendiqués. Il s'ensuit qu'en fonction de son sens commun, le terme "Premium" est de nature à susciter immédiatement auprès du public cible, et sans effort d'imagination particulier, un rapprochement avec la qualité, voire l'excellence du produit offert, en comparaison avec les produits concernés (ATF 130 II 83/JdT 2005 I 668 consid. 3.1). Il s'agit donc d'une désignation qualitative de nature publicitaire qui appartient au domaine public. Quant au terme anglais "ingredients", il sera immédiatement compris par le consommateur visé comme signifiant "ingrédients", et ce dans les trois langues nationales (Ingredienz, ingrédients, ingredienti). Il y a lieu d'admettre que, mis en relation avec les seuls services de transport, emballage et entreposage, les mots "Premium ingredients" ne s'avèrent pas descriptifs. Cependant, il convient de constater que la marque opposante n'est pas enregistrée pour des services de transport, emballage et entreposage quelconques mais pour des services de transport, emballage et entreposage fournis en relation avec des produits spécifiques. Il sied de constater que les termes "Premium ingredients", mis en relation avec ces produits, soit notamment des matières premières à usage diététique, des fibres végétales, des extraits d'algues et aromates, s'avèrent purement descriptifs. En conséquence, dès lors que lesdits produits sont étroitement liés aux services de transport, emballage et entreposage revendiqués par la marque opposante, il y a lieu de retenir que les éléments verbaux de la marque opposante sont également descriptifs des services enregistrés en classe 39 et appartiennent dès lors au domaine public, contrairement à ce qu'a constaté l'IPI.</w:t>
      </w:r>
    </w:p>
    <w:p>
      <w:r>
        <w:rPr>
          <w:b/>
        </w:rPr>
        <w:t>E. 5.1.1.4</w:t>
      </w:r>
    </w:p>
    <w:p>
      <w:r>
        <w:t>La marque opposante est une marque combinée formée des éléments verbaux "Premium ingredients, s.l." et d'un élément figuratif représentant des pétales de fleurs stylisés ou les feuilles d'une plante, avec revendication de couleurs. En tant qu'elle n'est pas particulièrement imaginative, il convient d'admettre que la marque "Premium ingredients, s.l." revêt une force distinctive faible et bénéficie de ce fait d'un champ de protection très restreint. Par voie de conséquence, tel qu'exposé ci-dessus (voir consid. 5.1.1), des différences plus modestes suffiront à créer une distinction suffisante entre les marques en présence.</w:t>
      </w:r>
    </w:p>
    <w:p>
      <w:r>
        <w:rPr>
          <w:b/>
        </w:rPr>
        <w:t>E. 5.2</w:t>
      </w:r>
    </w:p>
    <w:p>
      <w:r>
        <w:t>La marque attaquée est une marque combinée composée des éléments verbaux "Premium Ingredients International" et d'un élément figuratif formé par un globe terrestre et un trait courbe soulignant lesdits éléments verbaux, avec revendication de couleurs. Pour les mêmes motifs que ceux évoqués ci-dessus (voir consid. 5.1.1.3), les éléments verbaux "Premium ingredients" contenus dans la marque attaquée appartiennent au domaine public. Dès lors qu'il existe une concordance des signes en conflit dans les éléments "Premium ingredients", il convient d'examiner si la reprise de ceux-ci dans la marque attaquée est de nature à fonder un risque de confusion.</w:t>
      </w:r>
    </w:p>
    <w:p>
      <w:r>
        <w:rPr>
          <w:b/>
        </w:rPr>
        <w:t>E. 5.2.1</w:t>
      </w:r>
    </w:p>
    <w:p>
      <w:r>
        <w:t>Selon la jurisprudence et la doctrine, il n'existe pas de risque de confusion juridiquement pertinent lorsque les marques à comparer concordent uniquement sur des éléments qui en soi ne sont pas protégeables, tels les indications descriptives, les signes banals (chiffres ou lettres) et les signes libres. L'utilisation de ces signes est libre à moins qu'ils se soient imposés comme marque dans le commerce. C'est pourquoi, une telle concordance est sans importance en regard du droit des marques (décision de la CREPI du 7 avril 1998 publiée in : sic! 1998 403 consid. 4 Elle/NaturElle collection ; décision de la CREPI du 3 mars 2006 publiée in : sic! 2006 410 consid. 3 et 6 Feelgood's/Feel Good) ; David, op. cit., no 29 ad art. 3). En revanche, si la similarité entre les deux signes ne repose pas uniquement sur des éléments qui ne tombent pas sous le coup de la protection légale, il sied également, lors de l'examen de l'impression générale, de prendre en compte de tels éléments, ceux-ci pouvant en effet contribuer à influencer l'impression d'ensemble que laisse une marque (ATF 122 II 382/JdT 1997 I 231 consid. 5b Kamillosan ; décision de la CREPI du 11 mai 1999 publiée in : sic! 1999 420 consid. 5 Compaq/CompactFlash).</w:t>
      </w:r>
    </w:p>
    <w:p>
      <w:r>
        <w:rPr>
          <w:b/>
        </w:rPr>
        <w:t>E. 5.2.2</w:t>
      </w:r>
    </w:p>
    <w:p>
      <w:r>
        <w:t>In casu, les marques en présence ne concordent que dans les éléments verbaux "Premium Ingredients". Dès lors que la similarité des deux signes concernés repose uniquement sur des éléments du domaine public, tout risque de confusion, au sens de l'art. 3 let. c LPM, est d'emblée exclu.</w:t>
      </w:r>
    </w:p>
    <w:p>
      <w:r>
        <w:rPr>
          <w:b/>
        </w:rPr>
        <w:t>E. 6</w:t>
      </w:r>
    </w:p>
    <w:p>
      <w:r>
        <w:t>De surcroît, un examen de l'impression d'ensemble renvoyée par les marques en question n'aboutit pas à un résultat différent.</w:t>
      </w:r>
    </w:p>
    <w:p>
      <w:r>
        <w:rPr>
          <w:b/>
        </w:rPr>
        <w:t>E. 6.1</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473/JdT 1994 I 358 consid. 2c Radion/Radiomat).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La plupart du temps, le public ne verra ni n'entendra les deux signes simultanément. En réalité, celui des deux que le public voit ou entend s'oppose dans la mémoire à l'image plus ou moins effacée de l'autre, qui avait été vu dans le temps. Lors de la comparaison des signes, il convient d'examiner les caractéristiques susceptibles de subsister dans une mémoire moyennement fidèle ou moyennement défaillante (ATF 121 III 377 consid. 2a Boss/Boks). Pour déterminer si deux marques se ressemblent au sens de l'art. 3 al. 1 let. c LPM, il y a lieu de prendre en compte leur effet auditif, leur représentation graphique ou encore leur contenu sémantique. La similarité des marques doit en principe déjà être admise lorsqu'un risque de confusion se manifeste sur la base de l'un de ces trois critères (David, op. cit., no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122 III 382/JdT 1997 I 231 consid. 5a Kamillosan).</w:t>
      </w:r>
    </w:p>
    <w:p>
      <w:r>
        <w:rPr>
          <w:b/>
        </w:rPr>
        <w:t>E. 6.2</w:t>
      </w:r>
    </w:p>
    <w:p>
      <w:r>
        <w:t>D'un point de vue phonétique, les marques en conflit présentent une concordance dans les mots "Premium ingredients". Ceux-ci se prononcent de la même manière dans les deux signes. Cette concordance auditive sur les seuls éléments "Premium ingredients" n'apparaît toutefois pas décisive en l'espèce. C'est en effet l'inscription au registre qui est déterminante pour l'appréciation de la similarité des marques (arrêt du TAF B-7438/2006 du 10 mai 2007 publié in : sic! 2007 749 consid. 5 Cellini/Elini) et il serait dès lors erroné de faire purement et simplement abstraction de la fin des marques en conflit, soit du terme "International" pour la marque attaquée et de l'élément "s.l." pour la marque opposante. Comparées dans leur ensemble, il apparaît ainsi que la marque opposante est composée de sept syllabes, tandis que la marque attaquée en dénombre dix, ce qui entraîne une cadence, un rythme et une intonation différents entre les signes. En outre, la sonorité est différente du fait de l'adjonction du terme "International" dans la marque attaquée et de l'élément "s.l." dans la marque opposante. Dès lors, force est d'admettre que l'aspect auditif des marques prises dans leur ensemble est différent.</w:t>
      </w:r>
    </w:p>
    <w:p>
      <w:r>
        <w:rPr>
          <w:b/>
        </w:rPr>
        <w:t>E. 6.3</w:t>
      </w:r>
    </w:p>
    <w:p>
      <w:r>
        <w:t>S'agissant de l'impression visuelle, la marque opposante est une marque combinée formée des éléments verbaux "Premium ingredients, s.l.". Le mot "Premium", légèrement stylisé, est écrit en noir, en gras et en grande dimension. Sous cet élément, figurent, en caractères italiques et en petite dimension, les éléments "ingredients, s.l.". La partie graphique est composée d'un dessin stylisé représentant des pétales de fleurs blancs sur un fond rectangulaire de couleurs vert clair et vert foncé et placé au-dessus des éléments verbaux. Quant à la marque attaquée, également combinée, elle comprend les éléments verbaux "Premium Ingredients International". Les termes "Premium Ingredients" sont écrits en noir, en gras et en grande dimension. Sous ces éléments, figure, en petite dimension et en bleu, l'élément "International". La partie graphique est composée d'une représentation d'un globe terrestre bleu et gris à gauche des éléments verbaux et d'un trait de soulignement courbe bleu et rouge situé sous les éléments verbaux. Sur le vu de ce qui précède, il y a lieu de constater que la reproduction de l'élément "Premium" est semblable dans les deux signes. Toutefois, l'élément "ingredients", qui est écrit en grande dimension dans la marque attaquée, est également propre à frapper l'esprit du consommateur, alors qu'il est douteux que ce même élément, inscrit en petits caractères dans la marque opposante, subsiste dans sa mémoire. De surcroît, les marques divergent également dans les éléments "International" et "s.l.". Enfin, les graphismes respectifs des marques en question, en tout point différents, participent largement à l'impression d'ensemble différente existant entre les signes.</w:t>
      </w:r>
    </w:p>
    <w:p>
      <w:r>
        <w:rPr>
          <w:b/>
        </w:rPr>
        <w:t>E. 6.4</w:t>
      </w:r>
    </w:p>
    <w:p>
      <w:r>
        <w:t>Dès lors que le destinataire moyen d'une marque pense involontairement à ce qu'il entend et lit, le sens d'un signe emprunté au langage courant peut également être déterminant. Hormis la signification sémantique des mots, les associations d'idées qu'appelle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se laisse tromper par un son ou une image graphique analogue s'atténue (ATF 121 III 377 consid. 2b Boss/Boks). Comme relevé précédemment (voir consid. 5.1.1.3), la combinaison des éléments verbaux "Premium ingredients" revêt pour le public cible une signification claire immédiatement perceptible, soit celle de "ingrédients de qualité supérieure". Cette signification est identique dans les deux marques. Quant à l'élément "s.l." contenu dans la marque opposante, il constitue l'abréviation espagnole de "Sociedad Limitada" et fait ainsi référence à la forme juridique de la société recourante 2. Cependant, il y a lieu d'admettre qu'il ne revêt aucune force distinctive à mesure que d'une part, ce genre d'éléments, appartenant au domaine public, ne reste pas dans la mémoire du consommateur (arrêt du TAF B-7433/2006 du 7 novembre 2007 consid. 8.1.1) et que, d'autre part, il est douteux que le public cible connaissance la signification d'une telle abréviation. En revanche, les éléments figuratifs des marques en conflit leur donnent une signification bien distincte. Les pétales de fleurs représentés dans la marque opposante font penser aux produits revendiqués par la recourante 2, soit à des ingrédients à base de plantes, à des herbes aromatiques. Certains des ingrédients concernés sont en effet issus de végétaux, tels que les fibres végétales, les pectines, les algues et l'aromate. En outre, les couleurs vert clair et vert foncé revendiquées par la marque opposante, sur lesquelles les pétales sont retranscrits, renvoient au concept de produits naturels. En revanche, le globe terrestre représenté dans la marque attaquée fait référence aux notions de voyage, de mouvement, accentuées par le trait de soulignement, formé comme un tracé autour du monde. Ce graphisme rappelle ainsi les services de transport et d'import-export revendiqués par la marque attaquée. Cette idée de déplacement au-delà des frontières est encore renforcée par l'élément verbal "International", dont il ne fait aucun doute que le sens est connu du public cible. Dès lors, nonobstant une concordance sémantique des deux marques sur le plan verbal, force est d'admettre que l'idée qu'évoquent au consommateur les graphismes respectifs des signes en présence est différente pour chacun d'eux.</w:t>
      </w:r>
    </w:p>
    <w:p>
      <w:r>
        <w:rPr>
          <w:b/>
        </w:rPr>
        <w:t>E. 6.5</w:t>
      </w:r>
    </w:p>
    <w:p>
      <w:r>
        <w:t>Au regard de ce qui a été exposé ci-dessus, il y a lieu d'admettre que tout risque de confusion direct ou indirect entre les signes en confit est exclu, dans la mesure où ceux-ci concordent uniquement par des éléments du domaine public. De surcroît, pris dans leur ensemble, la marque attaquée diverge suffisamment de la marque opposante, compte tenu en particulier du périmètre de protection restreint de cette dernière et du cercle de consommateurs visés.</w:t>
      </w:r>
    </w:p>
    <w:p>
      <w:r>
        <w:rPr>
          <w:b/>
        </w:rPr>
        <w:t>E. 7</w:t>
      </w:r>
    </w:p>
    <w:p>
      <w:r>
        <w:t>Enfin, dans la mesure où les recourantes se réfèrent toutes deux à des décisions étrangères, soit à une décision de l'INPI pour la marque attaquée et de l'OHMI pour la marque opposante, il y a lieu de préciser qu'il est de jurisprudence constante que les décisions étrangères n'ont pas de valeur de précédents (arrêt du TAF B-600/2007 du 21 juillet 2007 consid. 2.6 Volume up). Chaque pays examine la possibilité de protéger une marque selon sa propre législation et la perception de ses milieux intéressés (DAVID, op. cit., n° 7 ad art. 2 ; arrêt du TAF précité B-7424/2006 consid. 5 Bona).</w:t>
      </w:r>
    </w:p>
    <w:p>
      <w:r>
        <w:rPr>
          <w:b/>
        </w:rPr>
        <w:t>E. 8</w:t>
      </w:r>
    </w:p>
    <w:p>
      <w:r>
        <w:t>Il résulte de ce qui précède que la décision attaquée viole en partie le droit fédéral, dans la mesure où elle admet l'opposition formée par la recourante 2 en lien avec les services revendiqués en classe 39 par la marque attaquée. Partant, le recours interjeté par la recourante 1 doit être admis et l'opposition no 9404 rejetée. Le ch. 1 du dispositif de la décision de l'IPI du 22 décembre 2008 est partiellement annulé, en tant qu'il admet l'opposition pour les services de la classe 39. La marque suisse no 563'528 "Premium Ingredients International" (fig.) doit être admise à l'enregistrement pour les services revendiqués par elle en classes 35 et 39. Le ch. 3 de la décision attaquée est également annulé en tant qu'il met à la charge de la recourante 1 le paiement à la recourante 2 d'un montant de CHF 400.- à titre de prise en charge de la moitié de la taxe d'opposition.</w:t>
      </w:r>
    </w:p>
    <w:p>
      <w:r>
        <w:rPr>
          <w:b/>
        </w:rPr>
        <w:t>E. 9</w:t>
      </w:r>
    </w:p>
    <w:p>
      <w:r>
        <w:t>Vu l'issue de la procédure, les frais de procédure comprenant l'émolument judiciaire et les débours doivent être mis à la charge de la recourante 2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(voir en ce sens ATF 133 III 490 consid. 3.3 et les réf. cit.). En l'espèce, au regard de ce qui précède, les frais de procédure doivent être fixés à Fr. 4'000.- et mis à la charge de la recourante 2 qui succombe. Ils seront prélevés sur l'avance de frais de Fr. 5'000.- versée par cette dernière. Le solde de Fr. 1'000.- lui sera remboursé. L'avance de frais de Fr. 5'000.- versée par la recourante 1 lui sera restituée.</w:t>
      </w:r>
    </w:p>
    <w:p>
      <w:r>
        <w:rPr>
          <w:b/>
        </w:rPr>
        <w:t>E. 10</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Selon l'art. 14 al. 1 FITAF, les parties qui ont droit aux dépens doivent faire parvenir au Tribunal, avant le prononcé de la décision, un décompte de leurs prestations. Le Tribunal fixe les dépens sur la base du décompte (art. 14 al. 2 FITAF). La recourante 1, qui obtient gain de cause et qui est représentée par un mandataire, a droit à des dépens (art. 64 al. 1 PA). Cette dernière a produit le 15 septembre 2009 une note de frais et dépens qui s'élève à Fr. 12'318.-, soit Fr. 5'000.- de provision pour frais de procédure et Fr. 7'288.- pour travaux, frais et honoraires. En l'espèce, il y a lieu d'admettre que si la présente procédure a présenté une certaine complexité, le mandataire de la recourante 1 n'a cependant pas été confronté à des questions de fait ou de droit inhabituelles ou exceptionnellement ardues et n'a pas été amené à étudier un dossier particulièrement volumineux. Le montant retenu par la recourante 1 paraît donc disproportionné. Partant, il se justifie d'allouer à la recourante 1 une indemnité de Fr. 3'000 .- (TVA non comprise) à titre de dépens pour la procédure de recours, à laquelle s'ajoute un montant de Fr. 1'000.- (TVA non comprise) à titre de dépens pour la procédure devant l'autorité inférieure, soit un total de Fr. 4'000.- mis à la charge de la recourante 2.</w:t>
      </w:r>
    </w:p>
    <w:p>
      <w:r>
        <w:rPr>
          <w:b/>
        </w:rPr>
        <w:t>E. 11</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