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B-4930/2022 vom 28. Mai 2024</w:t>
      </w:r>
    </w:p>
    <w:p>
      <w:r>
        <w:t>Bundesverwaltungsgericht, 2024-05-28, FR</w:t>
      </w:r>
    </w:p>
    <w:p>
      <w:r>
        <w:rPr>
          <w:b/>
        </w:rPr>
        <w:t xml:space="preserve">Quelle: </w:t>
      </w:r>
      <w:r>
        <w:t>https://mcp.opencaselaw.ch/entscheid/bvger_B-4930_2022</w:t>
      </w:r>
    </w:p>
    <w:p>
      <w:r>
        <w:t>FR: TAF B-4930/2022 du 28 mai 2024</w:t>
      </w:r>
    </w:p>
    <w:p>
      <w:r>
        <w:t>IT: TAF B-4930/2022 del 28 maggio 2024</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fédérale du 29 avril 1998 sur l'agriculture [LAgr, RS 910.1] en relation avec l'art. 92 al. 1 de la loi vaudoise du 28 octobre 2008 sur la procédure administrative [LPA-VD, RSV 173.36]). La qualité pour recourir doit être reconnue à la recourante (cf. art. 48 al. 1 PA). Les autres conditions de recevabilité sont respectées (cf. art. 11 al. 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Par arrêt du 29 septembre 2022, le tribunal cantonal a constaté le manque d'indépendance et d'autonomie de la recourante sur les plans spatial, économique et organisationnel durant la période de 2016/2017. Il a ainsi confirmé la révocation de la reconnaissance en tant qu'exploitation octroyée à la prénommée en 2010 avec effet rétroactif au 1er janvier 2016. Le présent litige vise ainsi à déterminer si la révocation avec effet rétroactif était conforme au droit ; en d'autres termes, si la recourante était ou non indépendante et autonome d'autres entreprises, notamment de Y._______ SA, en 2016 et 2017.</w:t>
      </w:r>
    </w:p>
    <w:p>
      <w:r>
        <w:rPr>
          <w:b/>
        </w:rPr>
        <w:t>E. 4.1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(cf.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sa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4.2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4.1).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(cf. art. 1 al. 2 let. a OTerm).</w:t>
      </w:r>
    </w:p>
    <w:p>
      <w:r>
        <w:rPr>
          <w:b/>
        </w:rPr>
        <w:t>E. 4.3</w:t>
      </w:r>
    </w:p>
    <w:p>
      <w:r>
        <w:t>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main-d'oeuvre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arrêt du TAF B-7313/2017 du 27 mars 2019 consid. 3.3 et la réf. cit. ; Commentaire et instructions 2024 relatifs à l'OTerm [ci-après : commentaire OTerm] ad. art. 29a al. 2, https://www.blw.admin.ch/blw/fr/home/instrumente/direktzahlungen/voraussetzungen-begriffe.html, consulté le 24 mai 2024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 arrêt du TF 2C_61/2020 du 16 décembre 2021 consid. 4.4.3).</w:t>
      </w:r>
    </w:p>
    <w:p>
      <w:r>
        <w:rPr>
          <w:b/>
        </w:rPr>
        <w:t>E. 4.4</w:t>
      </w:r>
    </w:p>
    <w:p>
      <w:r>
        <w:t>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L'art. 30a al. 1 OTerm expose que 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rPr>
          <w:b/>
        </w:rPr>
        <w:t>E. 5</w:t>
      </w:r>
    </w:p>
    <w:p>
      <w:r>
        <w:t>La recourante conteste tout d'abord la révocation de sa reconnaissance en tant qu'exploitation, soutenant que sa situation serait la même depuis 2010 lorsqu'elle a été formellement reconnue ; elle avance également que le tribunal aurait reconnu expressément le caractère indépendant et autonome de son exploitation dans son arrêt B-533/2010 du 12 avril 2011. Elle se prévaut ainsi implicitement de l'autorité de la chose décidée et jugée.</w:t>
      </w:r>
    </w:p>
    <w:p>
      <w:r>
        <w:rPr>
          <w:b/>
        </w:rPr>
        <w:t>E. 5.1</w:t>
      </w:r>
    </w:p>
    <w:p>
      <w:r>
        <w:t>L'existence d'une exploitation agricole constitue un état de fait continu ; lorsque l'autorité cantonale compétente se prononce sur sa reconnaissance au sens de l'OTerm, elle constate une situation juridique déjà existante de par la loi (cf. ATAF 2016/8 consid. 4.5). De plus, comme susmentionné (cf. consid. 4.4), les exploitations reconnues sont soumises à des contrôles périodiques afin d'examiner si les conditions de reconnaissance sont satisfaites et si telles ne sont pas le cas, la reconnaissance est révoquée (art. 31a OTerm).</w:t>
      </w:r>
    </w:p>
    <w:p>
      <w:r>
        <w:rPr>
          <w:b/>
        </w:rPr>
        <w:t>E. 5.2</w:t>
      </w:r>
    </w:p>
    <w:p>
      <w:r>
        <w:t>La révocation consiste en la décision par laquelle une autorité administrative abroge ou modifie les effets d'une décision prise préalablement et ayant acquis force de chose décidée (cf. Dubey/Zufferey, Droit administratif général, 2014, n° 1023). La révocation d'une reconnaissance d'exploitation est certes prévue dans une ordonnance du Conseil fédéral, laquelle ne constitue pas une base légale formelle en principe nécessaire en cas d'atteinte grave à la liberté économique garantie par l'art. 27 Cst. Toutefois, un changement des circonstances permet de remettre en cause tout acte administratif disposant de l'autorité de chose décidée. La révocation d'une décision est en effet possible, même en l'absence de base légale spécifique, en cas de changement dans la situation de fait ou dans la réglementation, pour autant que l'intérêt à une application correcte de la législation l'emporte sur les principes de sécurité du droit et de la bonne foi (arrêts du TF 1C_588/2016 du 26 octobre 2017 consid. 2.3, 1C_168/2019 du 17 janvier 2020 consid. 2.2). En l'occurrence, l'art. 30a al. 1 OTerm impose aux autorités d'application du droit de veiller à une correcte application du droit correspondant à la situation de fait actuelle. La révocation qui y est prévue lorsque les conditions de reconnaissance ne sont plus réunies s'inscrit ainsi pleinement dans la pratique jurisprudentielle et ne nécessite pas un ancrage dans une loi au sens formel.</w:t>
      </w:r>
    </w:p>
    <w:p>
      <w:r>
        <w:rPr>
          <w:b/>
        </w:rPr>
        <w:t>E. 5.3</w:t>
      </w:r>
    </w:p>
    <w:p>
      <w:r>
        <w:t>Ainsi, si au moment de l'octroi de la reconnaissance, la première instance a constaté que la situation de la recourante satisfaisait aux conditions exposées par l'OTerm, elle n'a pas moins réexaminé la situation pour les années 2016/2017 conformément à l'art. 30a al. 1 OTerm. Or, les faits pertinents pour déterminer si les exigences de l'octroi sont remplies ou non sont ceux prévalant durant ladite période. Par conséquent, la décision de reconnaissance concerne une période n'afférant pas au litige et ressort dès lors d'un autre état de fait et de droit. Partant, la recourante ne saurait invoquer la situation existant en 2010 pour justifier le maintien de la reconnaissance pour la période 2016/2017.</w:t>
      </w:r>
    </w:p>
    <w:p>
      <w:r>
        <w:rPr>
          <w:b/>
        </w:rPr>
        <w:t>E. 5.4</w:t>
      </w:r>
    </w:p>
    <w:p>
      <w:r>
        <w:t>S'agissant de l'arrêt B-533/2010 du 12 avril 2011 qui concerne une décision rendue à l'encontre d'une société autre que la recourante, le tribunal y a reproché à l'OFAG de s'en être tenu exclusivement aux extraits du registre du commerce erronés sans examiner les moyens de preuve fournis et tendant à établir la situation juridique des sociétés en cause - dont X._______ SA - durant la période de 2007/2008. Il a ainsi constaté que les extraits non conformes à la réalité du registre du commerce n'attestaient pas une interdépendance des exploitations dont X._______ SA. Il a relevé que, au contraire, le procès-verbal des assemblées générales extraordinaires des actionnaires de ces sociétés conduisaient à admettre leur indépendance au sens de l'art. 6 al. 1 let. c OTerm. Par conséquent, il a retenu que la décision de l'OFAG, infligeant une taxe pour dépassement des effectifs maximums au recourant, à X._______ SA et à une autre société, était contraire au droit et l'a annulée. Ainsi, il convient de relever en premier lieu que l'état de fait de l'arrêt précité concerne les années 2007 et 2008, alors que la période déterminante pour le présent litige est de 2016 à 2017 (cf. consid. 5.3). Quant aux parties à la procédure, elles ne sont pas non plus les mêmes que celles s'opposant dans la présente cause ; ni la recourante ni les autorités cantonales n'y étaient parties. De même, il a trait à une question de taxe de dépassement d'effectifs pour laquelle, à titre préliminaire, il y a eu lieu de traiter de l'indépendance de l'exploitation recourante d'avec notamment celle de la recourante. Il n'y est en revanche nullement question des éventuels liens de dépendance économique et organisationnelle entre la recourante et Y._______ SA. L'objet du litige de ces deux procédures est ainsi différent.</w:t>
      </w:r>
    </w:p>
    <w:p>
      <w:r>
        <w:rPr>
          <w:b/>
        </w:rPr>
        <w:t>E. 5.5</w:t>
      </w:r>
    </w:p>
    <w:p>
      <w:r>
        <w:t>Enfin, quelles que soient les constatations quant à l'indépendance intervenues pour les années précédant la période objet de l'arrêt entrepris, celles-ci ne sauraient lier les instances précédentes comme le tribunal de céans. En effet, la décision de reconnaissance d'une exploitation agricole a un effet durable ; aussi, la force de chose jugée, comme celle de chose décidée, ne s'oppose pas à une révocation en cas de modification due à un changement de circonstances de fait ou de droit (cf. ATF 136 II 177 consid. 2.1 ; arrêt du TF 1C_63/2019 du 29 janvier 2020 consid. 5.3 ; ATAF 2019 I/8 consid. 4.2.4.1 ; arrêts du TAF A-956/2019 du 3 mai 2019 consid. 5.3 et TAF B-485/2010 du 7 décembre 2010 consid. 6.1).</w:t>
      </w:r>
    </w:p>
    <w:p>
      <w:r>
        <w:rPr>
          <w:b/>
        </w:rPr>
        <w:t>E. 5.6</w:t>
      </w:r>
    </w:p>
    <w:p>
      <w:r>
        <w:t>En tant que la recourante soutient que sa situation n'a pas changé depuis l'octroi de la reconnaissance en 2010, il convient de relever que celle-ci se limite à l'alléguer, elle n'apporte aucun moyen de preuve susceptible de le démontrer. Or, à la lecture du dossier, on peut constater qu'à cette époque, son administrateur et actionnaire majoritaire était (...), lequel n'est pas membre de la famille (...). Pour le surplus, le dossier ne contient aucun élément permettant de retenir que la situation de la recourante n'a pas subi de modification depuis l'octroi de sa reconnaissance.</w:t>
      </w:r>
    </w:p>
    <w:p>
      <w:r>
        <w:rPr>
          <w:b/>
        </w:rPr>
        <w:t>E. 5.7</w:t>
      </w:r>
    </w:p>
    <w:p>
      <w:r>
        <w:t>En définitive, la recourante ne saurait exciper de l'autorité de la chose décidée ou jugée pour s'opposer à la révocation de la décision de reconnaissance du 5 mars 2010. Mal fondé, le recours doit dès lors être rejeté sur ce point.</w:t>
      </w:r>
    </w:p>
    <w:p>
      <w:r>
        <w:rPr>
          <w:b/>
        </w:rPr>
        <w:t>E. 6</w:t>
      </w:r>
    </w:p>
    <w:p>
      <w:r>
        <w:t>La recourante soutient qu'elle serait autonome et indépendante sur les plans économique et organisationnel, de sorte que la révocation de sa reconnaissance serait injustifiée. Elle indique qu'elle dispose de son propre personnel et des infrastructures nécessaires à la préparation et à la distribution des aliments aux animaux. De plus, elle vendrait également le produit de son élevage à d'autres producteurs de la région.</w:t>
      </w:r>
    </w:p>
    <w:p>
      <w:r>
        <w:rPr>
          <w:b/>
        </w:rPr>
        <w:t>E. 6.1.1</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w:t>
      </w:r>
    </w:p>
    <w:p>
      <w:r>
        <w:rPr>
          <w:b/>
        </w:rPr>
        <w:t>E. 6.1.2</w:t>
      </w:r>
    </w:p>
    <w:p>
      <w:r>
        <w:t>L'art. 6 al. 4 OTerm précise encore que la condition prévue à son al. 1 let. c n'est notamment pas remplie lorsque : l'exploitant ne peut prendre de décisions concernant la gestion de son exploitation, indépendamment des exploitants d'autres entreprises agricoles au sens de l'al. 1 (let. a) ; l'exploitant d'une autre entreprise agricole au sens de l'al. 1, ou ses associés sociétaires, actionnaires ou représentants, détiennent une part de 25 % ou plus du capital propre ou du capital total de l'exploitation (let. b), ou les travaux à effectuer dans l'exploitation sont exécutés en majeure partie par d'autres exploitations sans qu'une communauté au sens des art. 10 ou 12 soit reconnue (let. c).</w:t>
      </w:r>
    </w:p>
    <w:p>
      <w:r>
        <w:rPr>
          <w:b/>
        </w:rPr>
        <w:t>E. 6.1.3</w:t>
      </w:r>
    </w:p>
    <w:p>
      <w:r>
        <w:t>L'autonomie juridique, économique, organisationnelle et financière signifie que l'exploitant a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(cf. commentaire OTerm ad art. 6 al. 1 let. c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également un décompte réciproque des prestations (cf. arrêt du TAF B-649/2016 du 23 août 2017 consid. 5.2.2 ; commentaire OTerm ad art. 6 al. 1 let. d OTerm). Enfin, la question de savoir si une entreprise est autonome et indépendante doit être examinée en tenant compte de toutes les circonstances du cas d'espèce (cf. arrêt du TF 2C _63/2011 du 20 octobre 2011 consid. 3.4.1).</w:t>
      </w:r>
    </w:p>
    <w:p>
      <w:r>
        <w:rPr>
          <w:b/>
        </w:rPr>
        <w:t>E. 6.2</w:t>
      </w:r>
    </w:p>
    <w:p>
      <w:r>
        <w:t>En l'espèce, il est admis que durant la période de 2016/2017 l'exploitation de la recourante se trouvait à proximité immédiate de celle de Y._______ SA; le complexe de bâtiments sis sur leurs parcelles n'était séparé que par un chemin de quelques mètres de large et se trouvait isolé des autres constructions. Il est également admis que la recourante disposait de ses propres installations fixes destinées à la préparation et à la distribution des aliments pour animaux. Y._______ SA, qui était également active dans le domaine de la production porcine, obtenait de la recourante les rations de nourriture destinée à l'engraissement de ses porcs. La gestion électronique de la distribution de l'alimentation de ces deux sociétés se réalisait par ailleurs en réseau commun. Le tribunal cantonal a ensuite relevé que la gestion quotidienne des porcheries de la recourante et de Y._______ SA était effectuée par le couple (...) qui résidait sur place. Ce point n'est pas contesté, la recourante se limite à indiquer qu'elle gérait son propre personnel, à savoir (...). L'administrateur de la recourante a indiqué, dans sa lettre datée du 19 juillet 2018, que la collaboration avec la société précitée portait sur « prise de main-d'oeuvre pour l'aide à la castration des porcelets ; fourniture de main-d'oeuvre pour le chargement des porcs et le nettoyage des boxes ; service de dépannage mutuel pour [pallier] des absences ponctuelles ». Ces échanges de prestation ne faisaient toutefois pas l'objet d'une facturation durant la période de contrôle. En effet, selon le courrier susmentionné, « les prestations effectuées par [la recourante] envers Y._______ SA ou inversement [étaient] décomptées et facturées. Pour les années précédentes, ces contre-affaires [sic] n'avaient pas été chiffrées car la situation semblait équitable pour les deux parties. Afin d'être clair et transparent sur les heures effectivement fournies celles-ci [étaient] identifiées et facturées à partir du 1er janvier 2018 ». De surcroît, B._______, administrateur de Y._______ SA, s'occupait de l'acheminement du petit-lait à la recourante. Cependant, il ne ressort pas du dossier que ces prestations avaient fait l'objet d'un décompte réciproque, la recourante ne le prétend d'ailleurs nullement. De plus, selon le courrier du 4 octobre 2019 du fiduciaire de Y._______ SA et de la recourante, les paiements d'achats d'animaux « [étaient] effectués par acomptes, de sorte que ceux-ci ne [pouvaient] pas être attribués spécifiquement à une facture ». Il n'est donc pas possible de savoir avec certitude quelles étaient les prestations effectivement acquittées. Ainsi, la gestion de la recourante et ses échanges avec Y._______ SA, reposait sur une pure base de confiance. Or, une gestion autonome suppose un décompte clair des prestations avec ses partenaires commerciaux (cf. consid. 6.1.3). Quant à la vente d'animaux, la recourante prétend qu'elle aurait fourni des porcelets également à d'autres agriculteurs de la région ; elle n'apporte toutefois aucun élément permettant de le démontrer. Or, selon son courrier daté du 7 mai 2018 « [elle vendait] ses porcelets directement à [Y._______ SA] et [revendait] le solde au marchand Z._______ SA ». Le rapport BDO a quant à lui constaté que 44% des ventes transitaient par Y._______ SA et 56% par l'intermédiaire de Z._______ SA. La recourante ne conteste pas non plus que 64% de son cheptel étaient acquis auprès d'Y. _______ SA. Ainsi, elle disposait de peu d'alternatives commerciales autre que les sociétés susmentionnées durant la période de contrôle, que ce soit au niveau de l'approvisionnement ou de la vente de sorte que sa prospérité économique dépendait fortement voire exclusivement de ces deux entreprises. Concernant les libellés des comptes, la recourante ne conteste pas qu'ils étaient similaires avec ceux des autres entreprises appartenant à sa famille à l'instar de Y._______ SA. Selon elle, cela serait dû au fait qu'elles utilisaient le même logiciel de comptabilité et avaient recours au même fiduciaire. Or, si l'utilisation d'un même logiciel de comptabilité est fréquente dans le milieu agricole, cela ne permet toutefois pas de justifier que les prestations quotidiennes étaient libellées de façon semblable entre les différentes sociétés. Le fiduciaire employé par la recourante et les autres entreprises se limitait, quant à lui, à procéder au bouclement des comptes, à la mise en page des états financiers, à l'établissement des documents fiscaux ainsi qu'à la rédaction des procès-verbaux des assemblées générales (cf. courrier du fiduciaire du 4 octobre 2019). Il n'appert pas que celui-ci s'occupait également de la comptabilité journalière des entreprises, ce que la recourante ne prétend d'ailleurs pas. La tenue au quotidien des comptes des sociétés mises en cause apparaît ainsi avoir été centralisée durant la période en cause.</w:t>
      </w:r>
    </w:p>
    <w:p>
      <w:r>
        <w:rPr>
          <w:b/>
        </w:rPr>
        <w:t>E. 6.3</w:t>
      </w:r>
    </w:p>
    <w:p>
      <w:r>
        <w:t>Sur le vu de l'ensemble de ce qui précède, il convient de constater avec les autorités cantonales que durant la période de 2016/2017 la collaboration entre la recourante et Y._______ SA ne pouvait être qualifiée d'un simple coup de main réciproque ponctuel et qu'elle excédait ce qui pouvait être considéré comme une aide interentreprises admise. Au contraire, tout porte à croire que les deux sociétés s'étaient réparties les étapes de l'élevage et s'accordaient pour organiser la répartition des tâches au sein des deux porcheries. Elles partageaient ainsi les risques et profits de leur activité. La recourante se présentait par ailleurs comme une société au service de sa voisine tant en ce qui concerne l'approvisionnement en nourriture destinée aux animaux que pour l'approvisionnement en cheptel. Dans ces circonstances, c'est à juste titre que le tribunal cantonal a relevé le manque d'indépendance et d'autonomie de la recourante. Mal fondé, le recours doit également être rejeté sur ce point.</w:t>
      </w:r>
    </w:p>
    <w:p>
      <w:r>
        <w:rPr>
          <w:b/>
        </w:rPr>
        <w:t>E. 7</w:t>
      </w:r>
    </w:p>
    <w:p>
      <w:r>
        <w:t>La recourante relève en outre que la cour cantonale a évoqué dans son arrêt la crainte d'un partage d'exploitation opéré à la seule fin de contourner les dispositions en matière de dépassement des effectifs maximums. Or, cette crainte serait infondée, dès lors que sa porcherie ne résulterait pas d'un partage et que dans son arrêt B-533/2010 du 12 avril 2011, le tribunal de céans aurait déjà constaté son autonomie s'agissant du respect des règles en matière de dépassement des effectifs maximums. En l'espèce, pour autant qu'il s'agisse bien d'un grief, force est de constater que l'arrêt contesté se contente d'exposer le contenu de l'art. 47 al. 4 LAgr, lequel précise que les partages d'exploitation opérés à la seule fin de contourner les dispositions en matière d'effectifs maximums ne sont pas reconnus, il n'en tire toutefois aucune conclusion. L'arrêt ne traite pour le reste nullement de la question de la reconnaissance de partage d'exploitation au sens de l'art. 29b OTerm ni de celle du dépassement des effectifs maximums. Il n'y a dès lors pas lieu d'examiner plus avant la question.</w:t>
      </w:r>
    </w:p>
    <w:p>
      <w:r>
        <w:rPr>
          <w:b/>
        </w:rPr>
        <w:t>E. 8</w:t>
      </w:r>
    </w:p>
    <w:p>
      <w:r>
        <w:t>La recourante s'en prend encore à l'effet rétroactif de la décision de révocation.</w:t>
      </w:r>
    </w:p>
    <w:p>
      <w:r>
        <w:rPr>
          <w:b/>
        </w:rPr>
        <w:t>E. 8.1</w:t>
      </w:r>
    </w:p>
    <w:p>
      <w:r>
        <w:t>Sur ce point, l'art. 30a al. 1 2ème phra. OTerm prévoit que le canton fixe la date à laquelle la révocation de reconnaissance prend effet. Cette disposition indique donc de manière claire qu'il appartient à l'autorité cantonale compétente en la matière de fixer la date à partir de laquelle la révocation déploie son effet ; elle ne contient en revanche aucune indication selon laquelle la révocation ne pourrait valoir que pour l'avenir, le commentaire OTerm ne comporte pas non plus de précision y relative. Ainsi, l'autorité cantonale dispose d'une marge d'appréciation dans la fixation de cette date, sous réserve notamment du respect du principe de la bonne foi au sens de l'art. 9 Cst. (cf. arrêt du TF 2C_351/2016 du 10 février 2017 consid. 5.4.2 ; arrêt du TAF B-7161/2008 du 9 mars 2009 consid. 3.4).</w:t>
      </w:r>
    </w:p>
    <w:p>
      <w:r>
        <w:rPr>
          <w:b/>
        </w:rPr>
        <w:t>E. 8.2</w:t>
      </w:r>
    </w:p>
    <w:p>
      <w:r>
        <w:t>En l'espèce, il convient de rappeler que la reconnaissance d'une exploitation a un effet durable ; l'autorité cantonale compétente constate en effet une situation juridique déjà existante de par la loi (cf. consid. 5.3). In casu, la première instance a soumis l'exploitation de la recourante à une vérification de son statut. Dans son courrier du 23 août 2017, elle lui a demandé de produire des documents tels que les comptes, le Grand-livre, les procès-verbaux des assemblées générales des actionnaires et des conseils d'administration des années 2014 à 2016. Ces éléments ont ensuite fait l'objet d'une analyse de la part du fiduciaire BDO. Ainsi, c'est sur la base d'une situation qui prévalait au moins en 2016 qu'elle a constaté que la recourante ne remplissait pas les conditions de reconnaissance au sens de l'art. 6 al. 1 let. c OTerm. Dans ces circonstances, on ne saurait reprocher à l'autorité cantonale d'avoir assorti sa décision d'un effet rétroactif au 1er janvier 2016. Dès lors que cette situation durait depuis 2014 déjà, cette date n'apparaît pour le reste pas contraire au principe de la proportionnalité et du respect de la bonne foi. Le recours doit donc également être rejeté sur ce point.</w:t>
      </w:r>
    </w:p>
    <w:p>
      <w:r>
        <w:rPr>
          <w:b/>
        </w:rPr>
        <w:t>E. 9</w:t>
      </w:r>
    </w:p>
    <w:p>
      <w:r>
        <w:t>La recourante se plaint encore de la violation du principe d'égalité de traitement, soutenant que sa situation serait identique à celle de nombreuses entreprises actives dans d'autres secteurs agricoles, à l'instar d'UFA SA, d'Anicom SA, de Rupromi Production Micarna, de la Maison Bell ainsi que d'Univo SA. Elle produit pour ce faire plusieurs documents (cf. pces 12 à 16 du recours).</w:t>
      </w:r>
    </w:p>
    <w:p>
      <w:r>
        <w:rPr>
          <w:b/>
        </w:rPr>
        <w:t>E. 9.1</w:t>
      </w:r>
    </w:p>
    <w:p>
      <w:r>
        <w:t>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5.1, 142 V 316 consid. 6.1.1, 142 I 195 consid. 6.1 et les réf.cit. ; arrêts du TAF B-2359/2023 du 6 juillet 2023 consid. 6.1.1 et B-5446/2021 du 19 juin 2023 consid. 5.1).</w:t>
      </w:r>
    </w:p>
    <w:p>
      <w:r>
        <w:rPr>
          <w:b/>
        </w:rPr>
        <w:t>E. 9.2</w:t>
      </w:r>
    </w:p>
    <w:p>
      <w:r>
        <w:t>En l'espèce, la pièce 12 consiste en des pages internet portant sur la présentation de la répartition du travail dans la production de porcelets (RTPP) d'UFA SA et Anicom SA ainsi que des avantages liés à cette forme d'exploitation. Le document 13 est quant à lui un contrat modèle entre deux entreprises dans le cadre de cette répartition de travail. La pièce 14 comporte, d'une part, une capture d'écran d'une vidéo de la société Rupromi Swiss Schwein SA montrant les messages suivants « Zusammensetzung, Rusterholzsauen Produzenten Micarna SA » et « Zusammenarbeit, direkt und zielgerichtet, kein Zwischenhandel, direkte Lieferung » et, d'autre part, l'extrait d'un article paru sur le site internet schweizerbauer.ch intitulé « les agriculteurs refusent les intermédiaires ». Cette pièce contient encore deux pages de présentation powerpoint intitulées « Weiterentwicklung von Terra Suisse Schweinefleisch in der Migros ». Le document 15 est quant à lui un article intitulé « à la recherche de nouveaux producteurs de poulets ». Enfin, la pièce 16 porte sur la présentation de l'entreprise Univo SA. Ainsi, à la lecture de ces pièces, le tribunal peine à voir en quoi elles permettent de retenir que la situation de ces entreprises - pour autant qu'elles bénéficient d'une reconnaissance d'exploitation - seraient comparables à celle de la recourante. Dans ces circonstances, celle-ci ne saurait rien déduire de ces éléments en sa faveur. De même, en tant que la recourante prétend que l'intensification des collaborations entre les entreprises agricoles est fortement encouragée par les grands distributeurs et par l'association suisse pour le développement de l'agriculture et de l'espace rural AGRIDEA, son argument ne saurait prospérer. En effet, le tribunal ne voit pas en quoi les recommandations émises par les acteurs économiques et/ou par une association permettraient de justifier le défaut d'indépendance entre les exploitations et d'ainsi déroger à la législation en matière de reconnaissance d'exploitation.</w:t>
      </w:r>
    </w:p>
    <w:p>
      <w:r>
        <w:rPr>
          <w:b/>
        </w:rPr>
        <w:t>E. 10</w:t>
      </w:r>
    </w:p>
    <w:p>
      <w:r>
        <w:t>Enfin, la recourante relève que la révocation de sa reconnaissance d'exploitation aurait pour conséquence la restitution du montant des paiements directs perçus ainsi que le prélèvement de taxes pour dépassement d'effectifs maximums, ce qui conduirait à sa faillite. A supposer qu'un tel grief soit recevable (cf. consid. 2), il faut relever que si l'autorité cantonale compétente dispose certes d'une marge d'appréciation en ce qui concerne la fixation du moment de l'effectivité de la révocation (cf. consid. 8), il en va toutefois autrement lorsqu'elle constate que les conditions de reconnaissance d'exploitation ne sont, comme en l'espèce, pas remplies (cf. consid. 6). Dans de tels cas, elle doit révoquer la reconnaissance octroyée (cf. arrêt du TAF B-7161/2008 du 9 mars 2009 consid. 3.4).</w:t>
      </w:r>
    </w:p>
    <w:p>
      <w:r>
        <w:rPr>
          <w:b/>
        </w:rPr>
        <w:t>E. 11</w:t>
      </w:r>
    </w:p>
    <w:p>
      <w:r>
        <w:t>Sur le vu de l'ensemble de ce qui précède, il y a lieu de constater que la décision entreprise ne viole pas le droit fédéral et ne relève pas d'une constatation inexacte ou incomplète des faits pertinents (cf. art. 49 PA). Mal fondé, le recours doit en conséquence être rejeté.</w:t>
      </w:r>
    </w:p>
    <w:p>
      <w:r>
        <w:rPr>
          <w:b/>
        </w:rPr>
        <w:t>E. 12</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7'500.- ; ils seront prélevés sur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