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B-4827/2017 vom 24. Februar 2020</w:t>
      </w:r>
    </w:p>
    <w:p>
      <w:r>
        <w:t>Bundesverwaltungsgericht, 2020-02-24, DE</w:t>
      </w:r>
    </w:p>
    <w:p>
      <w:r>
        <w:rPr>
          <w:b/>
        </w:rPr>
        <w:t xml:space="preserve">Quelle: </w:t>
      </w:r>
      <w:r>
        <w:t>https://mcp.opencaselaw.ch/entscheid/bvger_B-4827_2017</w:t>
      </w:r>
    </w:p>
    <w:p>
      <w:r>
        <w:t>FR: TAF B-4827/2017 du 24 février 2020</w:t>
      </w:r>
    </w:p>
    <w:p>
      <w:r>
        <w:t>IT: TAF B-4827/2017 del 24 febbraio 2020</w:t>
      </w:r>
    </w:p>
    <w:p>
      <w:pPr>
        <w:pStyle w:val="Heading2"/>
      </w:pPr>
      <w:r>
        <w:t>Regeste</w:t>
      </w:r>
    </w:p>
    <w:p>
      <w:r>
        <w:t>Geldwäscherei</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und Art. 33 Bst. e des Verwaltungsgerichtsgesetzes vom 17. Juni 2005 [VGG; SR 173.32]). Zur Beschwerde ist berechtigt, wer vor der Vorinstanz am Verfahren teilgenommen hat oder keine Möglichkeit zur Teilnahme erhalten hat, durch die angefochtene Verfügung besonders berührt ist und ein schutzwürdiges Interesse an deren Aufhebung oder Änderung hat (Art. 48 Abs. 1 des Bundesgesetzes vom 20. Dezember 1968 über das Verwaltungsverfahren [Verwaltungsverfahrensgesetz, VwVG; SR 172.021]). Der Beschwerdeführer hat am vorinstanzlichen Verfahren teilgenommen. Er ist formeller Adressat der angefochtenen Verfügung und durch sie besonders berührt. Der Beschwerdeführer beantragt im Hauptbegehren nicht nur die Aufhebung der angefochtenen Verfügung, sondern zusätzlich die Einstellung des Verfahrens gegen ihn. Im Unterschied zu anderen Verfahrensordnungen (z.B. Art. 319 ff. der Schweizerischen Strafprozessordnung vom 5. Oktober 2007 [StPO, SR 312.0]) kennt weder die Finanzmarktgesetzgebung noch die allgemeine Verwaltungsverfahrensordnung eine Verfahrenseinstellung im technischen Sinn, die durch eine formelle Einstellungsverfügung erfolgt. Ein Interesse des Beschwerdeführers daran, dass nicht nur die angefochtene Verfügung aufgehoben, sondern darüber hinaus noch eine ausdrückliche Einstellungsverfügung durch die Vorinstanz erlassen wird, ist daher nicht ersichtlich. Insoweit ist daher auf die Beschwerde nicht einzutreten. Die Beschwerde ist frist- und formgerecht eingereicht worden und die übrigen Sachverhaltsvoraussetzungen liegen vor (Art. 50 Abs. 1, Art. 52 Abs. 1 und Art. 44 ff. VwVG). Auf die Beschwerde ist daher im dargelegten Umfang einzutreten.</w:t>
      </w:r>
    </w:p>
    <w:p>
      <w:r>
        <w:rPr>
          <w:b/>
        </w:rPr>
        <w:t>E. 2</w:t>
      </w:r>
    </w:p>
    <w:p>
      <w:r>
        <w:t>Das Bundesverwaltungsgericht stellt den Sachverhalt von Amtes wegen fest (sog. Untersuchungsgrundsatz; Art. 12 VwVG) und prüft grundsätzlich uneingeschränkt, ob die Vorinstanz den rechtserheblichen Sachverhalt richtig und vollständig ermittelt hat (Art. 49 Bst. b VwVG). Dabei würdigt es die Beweise nach freier Überzeugung (sog. freie Beweiswürdigung; Art. 19 VwVG i.V.m. Art. 40 des Bundesgesetzes vom 4. Dezember 1947 über den Bundeszivilprozess [BZP; SR 273]); vgl. Urteil des BVGer B-3625/2014 vom 6. Oktober 2015 E. 4.3).</w:t>
      </w:r>
    </w:p>
    <w:p>
      <w:r>
        <w:rPr>
          <w:b/>
        </w:rPr>
        <w:t>E. 3</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(vgl. BGE 126 III 431 E. 2a und 2b; Tschannen/Zimmerli/Müller, Allgemeines Verwaltungsrecht, 4. Aufl. 2014, § 24 Rz. 18 ff; René Wiederkehr/Paul Richli, Praxis des allgemeinen Verwaltungsrechts, Band I, 2012, Rz. 777, S. 256; Urteil des BVGer B-7096/2013 E. 2). Für den Untersuchungszeitraum (1. September 2009 bis 31. Dezember 2015) ergeben sich die Sorgfaltspflichten im Bereich der Bekämpfung der Geldwäscherei aus dem Bundesgesetz vom 10. Oktober 1997 über die Bekämpfung der Geldwäscherei und der Terrorismusfinanzierung (Geldwäschereigesetz, GwG, Fassung in Kraft vom 1. Februar 2009 bis 31. Dezember 2014; SR 955.0) und der aGwV-FINMA vom 8. Dezember 2010 (GwV-FINMA; SR 955.033.0) sowie der aGwV-FINMA 3 vom 6. November 2008 (AS 2008 5313) hervor.</w:t>
      </w:r>
    </w:p>
    <w:p>
      <w:r>
        <w:rPr>
          <w:b/>
        </w:rPr>
        <w:t>E. 4</w:t>
      </w:r>
    </w:p>
    <w:p>
      <w:r>
        <w:t>Die Vorinstanz begründete die Anordnung eines Berufsverbots gegenüber dem Beschwerdeführer im Wesentlichen damit, dass er persönlich für diverse Verletzungen von elementaren Sorgfaltspflichten im Bereich der Bekämpfung der Geldwäscherei verantwortlich sei. Die Kundenbeziehungen der Bank L._______ mit H._______, der M._______ Stiftung, der N._______ Stiftung und der Q._______ AG hätten alle einen Bezug zu E._______ aufgewiesen und hätten als Geschäftsbeziehung mit erhöhtem Risiko (GmeR) eingestuft werden müssen. Aufgrund seines Vorwissens als Assistent des Kundenberaters bei der Bank O._______, wo er für E._______, H._______ und die M._______ Stiftung zuständig gewesen sei, und seiner Nähe zu E._______ hätte der Beschwerdeführer genügend Hinweise gehabt, dass die zur Bank L._______ transferierten Gelder von E._______ stammten oder stammen könnten und möglicherweise einen deliktischen Ursprung gehabt hätten. Dennoch habe er es unterlassen, seine Vorkenntnisse bei der Identifizierung und Abklärung der Kundenbeziehung zu berücksichtigen und zu dokumentieren. Statt die entsprechenden Geschäftsbeziehungen und Transaktionen mit der notwendigen Tiefe und Sorgfalt abzuklären, habe er wesentliche Elemente zur Beurteilung der mit der Beziehung verbundenen Risiken verheimlicht. Der Beschwerdeführer sei seiner Dokumentationspflicht nach Art. 7 GwG bei der Kontoeröffnung, der Nachqualifizierung als GmeR, der Plausibilisierung und periodischen Überwachung von Geschäftsbeziehungen und -transaktionen allgemein und bei den Kundenbeziehungen der Bank L._______ mit H._______, der M._______ Stiftung, der N._______ Stiftung und der Q._______ AG insbesondere nur ungenügend oder überhaupt nicht nachgekommen. Der Beschwerdeführer sei als Compliance Officer und Geldwäschereifachstelle für die Prüfung und die Erstattung der Verdachtsmeldung an die Meldestelle für Geldwäscherei verantwortlich gewesen. Ihm sei demzufolge in Bezug auf die Meldepflicht eine aufsichtsrechtliche Handlungspflicht zugekommen. Mit der Editionsverfügung der Bundesanwaltschaft vom 24. Mai 2011 sei das Kriterium der GwG-Weisung, wonach der Kundenverantwortliche aus andern Gründen hätte ernsthaftes Misstrauen hegen sollen, bei H._______, der M._______ Stiftung, der N._______ Stiftung und der Q._______ AG erfüllt gewesen. Aufgrund dessen wäre vom Beschwerdeführer zu erwarten gewesen, dass er alle vorerwähnten Kundenbeziehungen unmittelbar nach dem Eingang der Editionsverfügung resp. bei der Eröffnung (Q._______ AG) als GmeR klassifiziert hätte. Der Kontoeröffnungsprozess habe vorgesehen, dass die Freigabe zur Kontoeröffnung durch Compliance erfolge. Die GwG-Weisung habe jedoch keine Angaben erhalten, wie die GmeR-Kriterien zu verstehen seien. Aufgrund der Tatsache, dass Compliance ihre Handlungen nicht dokumentiert habe, sei nicht nachvollziehbar gewesen, welche Prüfungshandlungen der Beschwerdeführer überhaupt vorgenommen habe. Als Folge der willkürlichen Risikoklassifizierung habe es der Beschwerdeführer unterlassen, sowohl bei der Kontoeröffnung als auch zu einem späteren Zeitpunkt die gesetzlich vorgeschriebenen zusätzlichen Abklärungen bei erhöhten Risiken gemäss Art. 6 Abs. 2 GwG i.V. m. Art. 15 GwV-FINMA und der bankinternen GwG-Weisung Ziff. 4 einzufordern. Die Untersuchungsbeauftragte habe keine einzige diesbezügliche dokumentierte Rückfrage des Beschwerdeführers an den CEO festgestellt, dies obwohl dessen Abklärungen vielfach als ungenügend bzw. unvollständig zu qualifizieren gewesen seien. Der Beschwerdeführer rügt, der von der Vorinstanz aufgeführte Sachverhalt weise Fehler und Ungenauigkeiten auf. Die Vorinstanz suggeriere, dass der Bank die Bewilligung wegen Verstosses gegen Geldwäscherei-normen entzogen worden sei. Dem sei nicht so, vielmehr sei gegen die Bank L._______ ein Verfahren wegen eines (angeblichen) Verstosses der Eigenmittelvorschriften eröffnet worden. Der Beschwerdeführer habe bei der Bank O._______ bis ins Jahr 2004 lediglich Assistenzfunktion für den Kundenberater von E._______, H._______ und der M._______ Stiftung gehabt. Die Funktion eines Assistenten des Kundenberaters könne nicht mit der Tätigkeit des Kundenberaters verglichen, geschweige denn gleichgestellt werden. Dies gelte auch mit Bezug auf das behauptete Vorwissen. Hinsichtlich des beruflichen Werdegangs des Beschwerdeführers gelte es zu beachten, dass er im Zeitraum zwischen März 2004 und Mitte August 2006, mithin bis zu seinem Ausscheiden bei der Bank O._______ als Börsenhändler tätig gewesen sei. Vom 15. August 2006 bis und mit 31. Januar 2008 sei der Beschwerdeführer als Alleinangestellter für das Familiy Office der Familie D._______ in S._______ tätig gewesen. Der Beschwerdeführer habe demnach kein Vorwissen gehabt, wie von der Vorinstanz behauptet. Die Ausgestaltung der Compliance und die Einhaltung der Geldwäschereivorschriften sei sowohl von der internen wie auch von der externen Revision stets als der Grösse der Bank angemessen beurteilt worden.</w:t>
      </w:r>
    </w:p>
    <w:p>
      <w:r>
        <w:rPr>
          <w:b/>
        </w:rPr>
        <w:t>E. 4.1</w:t>
      </w:r>
    </w:p>
    <w:p>
      <w:r>
        <w:t>Die Frage, mit welchem Ergebnis das Enforcementverfahren gegen die Bank L._______ geendet hat, ist für das vorliegende Verfahren nicht relevant, da die Bindung an eine rechtskräftige Entscheidung sich grundsätzlich nur auf die Parteien des betreffenden Verfahrens erstreckt (BGE 142 II 243 E. 2.3). Auf die Frage, warum die Vorinstanz gegenüber der Bank L._______ keine schwere Verletzung von GwG-Pflichten festgestellt oder entsprechende Sanktionen oder Massnahmen verfügt habe, nachdem sich die Bank L._______ vom Beschwerdeführer getrennt hatte und die Bank nach Auffassung der Vorinstanz ohnehin wegen fehlender Erfüllung der Eigenmittelvorschriften zu liquidieren war, braucht daher nicht weiter eingegangen zu werden.</w:t>
      </w:r>
    </w:p>
    <w:p>
      <w:r>
        <w:rPr>
          <w:b/>
        </w:rPr>
        <w:t>E. 4.2</w:t>
      </w:r>
    </w:p>
    <w:p>
      <w:r>
        <w:t>Das seit 1. April 1998 in Kraft stehende Geldwäschereigesetz dient namentlich der Bekämpfung der Geldwäscherei (Art. 305bis StGB) und der Sicherstellung der Sorgfalt bei Finanzgeschäften (Art. 1 GwG). In Ergänzung zu den strafrechtlichen Bestimmungen soll das Geldwäschereigesetz verhindern, dass Gelder verbrecherischen Ursprungs in den ordentlichen Geldkreislauf gelangen. Das Geldwäschereigesetz leistet mit seinen Sorgfalts- und Verhaltenspflichten einen eigenständigen Beitrag zur Bekämpfung der Geldwäscherei und dient darüber hinaus der Deliktsprävention, der Risikoverminderung für die Finanzintermediäre und schliesslich der Aufrechterhaltung des Ansehens des Finanzplatzes Schweiz (Botschaft zur Umsetzung der revidierten Empfehlungen der Groupe d'action financière [GAFI] vom 15. Juni 2007, BBl 2007 6276 [nachfolgend: Botschaft GAFI]; vgl. auch Christoph K. Graber, in: Das neue GwG, 3. Aufl. 2009, Art. 1 N. 1; Ralph Wyss, in: GwG, Geldwäschereigesetz , 2. Aufl. 2009, Art. 1 N. 2, 5). Die Geldwäschereigesetzgebung zielt insbesondere auch darauf, die für die Geldwäscherei verantwortlichen Personen zu ermitteln und strafrechtlich zu belangen (Botschaft zum Bundesgesetz zur Bekämpfung der Geldwäscherei im Finanzsektor vom 17. Juni 1996 [Geldwäschereigesetz, GwG], BBl 1996 III 1102, 1116 [nachfolgend: Botschaft GwG]; BGE 134 III 529 E. 4.2). Dem Geldwäschereigesetz liegt somit eine umfassende Zielsetzung zu Grunde, welche über den Zweck und das Instrumentarium des Strafgesetzbuches hinausreicht (Botschaft GwG, S. 1102, 1113).</w:t>
      </w:r>
    </w:p>
    <w:p>
      <w:r>
        <w:rPr>
          <w:b/>
        </w:rPr>
        <w:t>E. 4.3</w:t>
      </w:r>
    </w:p>
    <w:p>
      <w:r>
        <w:t>Der Finanzintermediär hat die wirtschaftlichen Hintergründe und den Zweck einer Transaktion oder einer Geschäftsbeziehung abzuklären, wenn sie ungewöhnlich erscheinen und ihre Rechtmässigkeit nicht erkennbar ist (Art. 6 Abs. 2 Bst. a GwG) oder Anhaltspunkte vorliegen, dass Vermögenswerte aus einem Verbrechen herrühren (Art. 6 Abs. 2 Bst. b GwG). Art. 6 Abs. 2 Bst. b GwG stellt dabei kein zusätzlicher Tatbestand dar, sondern lediglich die Hervorhebung von besonders ungewöhnlichen Geschäften im Sinne von Art. 6 Abs. 2 Bst. a GwG (vgl. Werner de Capitani, in: Kommentar, Einziehung, Organisiertes Verbrechen, Geldwäscherei, Band II, 2002, Art. 6 N. 5, 144). Als Anhaltspunkte im Sinne von Art. 6 Abs. 2 Bst. b GwG haben bereits schwache Verdachtsmomente zu gelten (vgl. de Capitani, a.a.O., Art. 6, N. 156 ff.; Michael Reinle, Die Meldepflicht im Geldwäschereigesetz, 2007, Rz. 422; Graber, a.a.O., Art. 6 N. 7). Die aus den Abklärungen erlangten Informationen müssen schriftlich festgehalten und aufbewahrt werden (Urteil des BVGer B-2318/2006 vom 23. Juni 2008 E. 6.1.1 Ziff. 6). Um der Dokumentationspflicht zu genügen, muss der Finanzintermediär die Belege über die nach dem Geldwäschereigesetz erforderlichen Abklärungen so erstellen, dass die Vorinstanz, eine zugelassene Prüfgesellschaft oder ein Untersuchungsbeauftragter, sich innert angemessener Frist ein zuverlässiges Urteil über die Transaktionen und Geschäftsbeziehungen sowie über die Einhaltung der Pflichten zur Verhinderung von Geldwäscherei und Terrorismusfinanzierung bilden können (Art. 7 Abs. 1 GwG i.V.m. Art. 20 Abs. 1 GwV-FINMA bzw. Art. 34 Abs. 1 GwV-FINMA 3). In engem Zusammenhang mit der Abklärungspflicht in Art. 6 Abs. 2 Bst. b GwG steht die Meldepflicht des Finanzintermediärs gemäss Art. 9 Abs. 1 GwG. Der Finanzintermediär muss der Meldestelle für Geldwäscherei (Art. 23 GwG) unverzüglich Meldung erstatten, wenn er weiss oder den begründeten Verdacht hat, dass die in die Geschäftsbeziehung involvierten Vermögenswerte aus einem Verbrechen herrühren (Art. 9 Abs. 1 Bst. a Ziff. 2 GwG). Vermögenswerte, die aus einem Verbrechen "herrühren" sind insbesondere Vermögenswerte, die durch ein Verbrechen erlangt wurden (vgl. de Capitani, a.a.O., Art. 6 N. 152). Als Verbrechen gelten gemäss Art. 10 Abs. 2 StGB Taten, die mit Freiheitsstrafe von mehr als drei Jahren bedroht sind (vgl. Dave Zollinger, GwG, Geldwäschereigesetz, 2. Aufl., 2009., Art. 305bis N. 12; BGE 126 IV 255 E. 3a). Als begründet ist ein Verdacht anzusehen, wenn er auf einem konkreten Hinweis oder mehreren Anhaltspunkten beruht, die auf eine verbrecherische Herkunft der Vermögenswerte hindeuten (Botschaft GwG; Graber, a.a.O., Art. 9 N. 8; Daniel Thelesklaf, Geldwäschereigesetz, GwG, 2. Aufl. 2009, Art. 9 N. 9; de Capitani, a.a.O., Art. 9 N. 40; Entscheid des Bundesgerichts 4A_313/2008 vom 27. November 2008 E. 4.2.2.3). Hat der Finanzintermediär konkrete Kenntnisse davon, dass ein Strafverfahren wegen einer schweren Straftat gegen seinen Kunden angehoben wurde und die betroffenen Vermögenswerte damit in Zusammenhang stehen könnten, so muss er sich in der Regel für eine Meldung nach Art. 9 GwG entscheiden (vgl. Zollinger, a.a.O., Art. 305ter StGB N. 26; Graber, a.a.O., Art. 9 N. 11; Carlo Lombardini, Banques et blanchiment d'argent, 2e éd., 2013, Rz. 501 f.). Im Zweifel ist immer eine Meldung zu erstatten (vgl. Thelesklaf, a.a.O., Art. 9 N. 9; de Capitani, a.a.O., Art. 9 N. 43 ff.; Thomas Zwiefelhofer, Die Sorgfaltspflichten des liechtensteinischen Geldwäschereirechts verglichen mit den entsprechenden Bestimmungen des schweizerischen Rechts, 2007, S. 446 f.). Die Meldung muss unverzüglich erfolgen. Damit ist der Zeitpunkt gemeint, in dem das Wissen eintritt bzw. der Verdacht sich erhärtet hat, dass Vermögenswerte mit deliktischem Umfeld in die Geschäftsbeziehung involviert sind (vgl. Thelesklaf, a.a.O., Art. 9 N. 15; vgl. Urteil des BVGer B-6815/2013 vom 10. Juni 2014 Erw. 4.1-4.3).</w:t>
      </w:r>
    </w:p>
    <w:p>
      <w:r>
        <w:rPr>
          <w:b/>
        </w:rPr>
        <w:t>E. 4.4</w:t>
      </w:r>
    </w:p>
    <w:p>
      <w:r>
        <w:t>Soweit der Beschwerdeführer geltend macht, er habe kein Vorwissen gehabt, da er bis März 2004 lediglich eine Assistenzfunktion des Kundenberaters innegehabt habe, danach sei er Börsenhändler gewesen und von Mitte August 2006 bis Januar 2008 sei er für einen ganz anderen Arbeitgeber tätig gewesen, ist ihm was folgt entgegenzuhalten: Spätestens mit den vier Editionsverfügungen der Bundesanwaltschaft vom 24. Mai 2011, 31. Mai 2011, 3. November 2011 und 7. November 2011 war das Kriterium der GwG-Weisung, wonach der Compliance Officer aus andern Gründen ernsthaftes Misstrauen hegen sollte, bei H._______, der M._______ Stiftung, der N._______ Stiftung und der Q._______ AG erfüllt. Aufgrund dessen wäre vom Beschwerdeführer zu erwarten gewesen, dass er alle vorerwähnten Kundenbeziehungen unmittelbar nach dem Eingang der Editionsverfügung resp. bei der Eröffnung (Q._______ AG) als GmeR klassifiziert hätte.</w:t>
      </w:r>
    </w:p>
    <w:p>
      <w:r>
        <w:rPr>
          <w:b/>
        </w:rPr>
        <w:t>E. 4.5</w:t>
      </w:r>
    </w:p>
    <w:p>
      <w:r>
        <w:t>Es ist unbestritten, dass die Vermögenswerte, die H._______, die M._______ Stiftung und die N._______ Stiftung zur Bank L._______ transferierten, von E._______ stammten und dass der Beschwerdeführer dies aufgrund seiner früheren Tätigkeit als Assistent des Kundenbetreuers der Familie E._______ bei der Bank O._______ wusste. Es ist zwar nicht zweifelsfrei erstellt, aber doch mehr als wahrscheinlich, dass der Beschwerdeführer auch darüber informiert war, dass nach dem «Abtauchen» von E._______ die G._______ beziehungsweise die geschädigten Anleger derjenigen Hedgefonds, die durch G._______ verwaltet worden waren, gegenüber E._______ die Anschuldigungen erhoben, er habe diese Hedgefonds in betrügerischer Weise geschädigt. Spätestens aber mit Editionsverfügungen vom 24. Mai 2011 und 31. Mai 2011 informierte die Bundesanwaltschaft die Bank L._______ konkret darüber, dass gegen E._______ eine Strafuntersuchung wegen qualifizierter Geldwäscherei eröffnet worden sei, weil ihm vorgeworfen werde, Vermögenswerte, die aus kriminellen Tätigkeiten, insbesondere aus Betrugsdelikten in den Vereinigten Staaten von Amerika stammten, in der Schweiz verborgen zu haben. Ob dieses Strafverfahren letztlich zu einer rechtskräftigen Verurteilung führen wird oder ob die E._______ vorgeworfenen Betrugsdelikte den Tatbestand von GwG-relevanten Vortaten nicht erfüllen, ist entgegen der Auffassung des Beschwerdeführers nicht entscheidend. Ebenso wenig kann dem Umstand entscheidende Bedeutung zugemessen werden, dass die in Frage stehenden Vermögenswerte nicht durch E._______ selbst bei der Bank L._______ deponiert wurden, sondern durch dessen Ex-Frau. Es ist unbestritten, dass E._______ wenige Monate vor seinem "Untertauchen" H._______ aufgrund der Scheidungskonvention verschiedene Vermögenswerte, darunter insbesondere ein grosses Paket von G._______-Aktien, übertragen hatte. H._______ veräusserte in der Folge diese Aktien und deponierte die vom Erlös erworbenen Wertschriften bei der Bank L._______. Auch wenn die in Frage stehenden Vermögenswerte nicht durch E._______ selbst bei der Bank L._______ deponiert worden waren, stammten sie doch offensichtlich aus der beruflichen Tätigkeit von E._______. Spätestens durch die Editionsverfügungen der Bundesanwaltschaft wusste der Beschwerdeführer konkret, dass gegen E._______ eine Strafuntersuchung wegen qualifizierter Geldwäscherei eröffnet worden war, weil ihm vorgeworfen wurde, Vermögenswerte, die aus kriminellen Tätigkeiten, insbesondere aus Betrugsdelikten in den Vereinigten Staaten von Amerika stammten, in der Schweiz verborgen zu haben. Als zuständiger Compliance-Officer und «second line of defence» hätte er diese Geschäftsbeziehungen als Geschäftsbeziehungen mit erhöhten Risiken (GmeR) einstufen und entsprechend dokumentieren sowie eine Verdachtsmeldung an die Meldestelle für Geldwäscherei machen müssen. Es ist unbestritten, dass der Beschwerdeführer diesen Pflichten als zuständiger Compliance-Officer nicht nachgekommen ist.</w:t>
      </w:r>
    </w:p>
    <w:p>
      <w:r>
        <w:rPr>
          <w:b/>
        </w:rPr>
        <w:t>E. 4.6</w:t>
      </w:r>
    </w:p>
    <w:p>
      <w:r>
        <w:t>Am 20. August 2011 eröffnete die Bank eine Kontobeziehung mit der Q._______ AG. Auch an diesem Konto war H._______ wirtschaftlich berechtigt, so dass bezüglich diesem Konto die gleichen Verdachtsmomente vorlagen. Auch in diesem Kundendossier hat der Beschwerdeführer als zuständiger Compliance-Officer pflichtwidrig nicht dokumentiert, dass aufgrund der Editionsverfügung der Bundesanwaltschaft konkreter Verdacht auf eine verbrecherische Herkunft bestand, noch hat er eine Verdachtsmeldung an die Meldestelle für Geldwäscherei veranlasst.</w:t>
      </w:r>
    </w:p>
    <w:p>
      <w:r>
        <w:rPr>
          <w:b/>
        </w:rPr>
        <w:t>E. 4.7</w:t>
      </w:r>
    </w:p>
    <w:p>
      <w:r>
        <w:t>Wenn die Vorinstanz unter diesen Umständen zum Schluss gekommen ist, dass der Beschwerdeführer persönlich für diverse Verletzungen von elementaren Sorgfaltspflichten im Bereich der Bekämpfung der Geldwäscherei verantwortlich sei, ist das daher nicht zu beanstanden.</w:t>
      </w:r>
    </w:p>
    <w:p>
      <w:r>
        <w:rPr>
          <w:b/>
        </w:rPr>
        <w:t>E. 5</w:t>
      </w:r>
    </w:p>
    <w:p>
      <w:r>
        <w:t>Der Beschwerdeführer rügt weiter, das Berufsverbot gemäss Art. 33 FINMAG dürfe nur im Falle einer schweren Verletzung aufsichtsrechtlicher Bestimmungen auferlegt werden. An die Klarheit und Bestimmtheit der im konkreten Fall verletzten Bestimmungen bzw. der sich aus diesen ergebenden Pflichten für die Beaufsichtigten seien aufgrund des Legalitätsprinzips hohe Anforderungen zu stellen, damit die Massnahme bzw. die Sanktion für die potentiell durch ein Berufsverbot Betroffenen voraussehbar sei. In korrekter Würdigung des Sachverhalts könne zusammenfassend keine Rede davon sein, dass der Beschwerdeführer gegen elementare GwG-Sorgfaltspflichten und interne Weisungen der Bank L._______ in schwerwiegender Weise verstossen und damit die aufsichtsrechtlichen Anforderungen an die Gewähr für eine einwandfreie Geschäftstätigkeit schwer verletzt habe. Der Beschwerdeführer habe vielmehr glaubhaft dargelegt, nach Massgabe seines Kenntnisstandes und seiner Erfahrung im Bereich der Compliance zu jeder Zeit die Vorgaben des GwG und der internen Weisungen unter Verwendung der jeweilig vorhandenen Hilfsmittel bestmöglich und konsequent um- und durchgesetzt zu haben. Die fraglichen Vorgänge aus den Jahren 2011/2012 lägen im heutigen Zeitpunkt denn auch schon bereits 5 bzw. 6 Jahre zurück, was es unter dem Aspekt der Verhältnismässigkeit zu berücksichtigen sei.</w:t>
      </w:r>
    </w:p>
    <w:p>
      <w:r>
        <w:rPr>
          <w:b/>
        </w:rPr>
        <w:t>E. 5.1</w:t>
      </w:r>
    </w:p>
    <w:p>
      <w:r>
        <w:t>In Durchbrechung des Grundsatzes der Institutsaufsicht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BGE 142 II 243 E. 2.2). Das Berufsverbot gemäss Art. 33 FINMAG ist repressiver Natur, hat aber primär einen generalpräventiven Zweck (Hsu/Rashid Bahar/Daniel Flühmann, BSK FINMAG, Art. 33 N. 6; Felix Uhlmann, Das Berufsverbot nach Art. 33 FINMAG, in: SZW 2011, S. 437 ff.; Christoph Kuhn, Das Berufsverbot nach Art. 33 FINMAG, Zürich/Basel/Genf 2014, S. 40). Die Botschaft spricht bezüglich des Berufsverbots von einem verwaltungsrechtlichen Sanktionsinstrument, das die Funktionsfähigkeit der Finanzmärkte sicherstellen und den Schutz der Gläubigerinnen und Gläubiger, der Anlegerinnen und Anleger und der Versicherten gewährleisten soll (Botschaft zum Bundesgesetz über die Eidgenössische Finanzmarktaufsicht vom 1. Februar 2006 [hiernach: Botschaft FINMAG], BBl 2006 2829 ff., 2849). Der Funktionsschutz der Finanzmärkte und der Schutz der Marktteilnehmer stehen nach der gesetzgeberischen Konzeption somit im Vordergrund (Botschaft FINMAG, BBl 2006 2882). Die Eröffnung des personellen Anwendungsbereichs der Norm von Art. 33 FINMAG setzt nicht voraus, dass die mit einer Sanktion zu belegenden Person in einer bestimmten Beziehung zu einer oder einem Beaufsichtigten steht, weshalb das finanzmarktrechtliche Berufsverbot auch nach beendetem Arbeitsverhältnis ausgesprochen werden kann (BGE 142 II 243 E. 2.2). Ein derartiges Berufsverbot stellt eine erhebliche Beschränkung der Wirtschaftsfreiheit des Betroffenen dar. Entsprechend hat die Vorinstanz bei der Bemessung der Dauer den Grundsatz der Verhältnismässigkeit zu beachten (Urteil des BGer 2C_929/2017 vom 23. April 2018 E. 3).</w:t>
      </w:r>
    </w:p>
    <w:p>
      <w:r>
        <w:rPr>
          <w:b/>
        </w:rPr>
        <w:t>E. 5.2</w:t>
      </w:r>
    </w:p>
    <w:p>
      <w:r>
        <w:t>Ob ein Berufsverbot erforderlich und verhältnismässig ist, ist eine Frage, in Bezug auf deren Beantwortung der Vorinstanz technisches Ermessen zukommt, weshalb die Rechtsmittelinstanz sich bei der Beurteilung eine gewisse Zurückhaltung auferlegt.</w:t>
      </w:r>
    </w:p>
    <w:p>
      <w:r>
        <w:rPr>
          <w:b/>
        </w:rPr>
        <w:t>E. 5.3</w:t>
      </w:r>
    </w:p>
    <w:p>
      <w:r>
        <w:t>Wie dargelegt, ist nicht zu beanstanden, wenn die Vorinstanz zum Schluss gekommen ist, dass der Beschwerdeführer persönlich für diverse Verletzungen von elementaren Sorgfaltspflichten im Bereich der Bekämpfung der Geldwäscherei und damit kausal und schuldhaft für eine schwere Verletzung aufsichtsrechtlicher Bestimmungen durch die Bank L._______ verantwortlich sei.</w:t>
      </w:r>
    </w:p>
    <w:p>
      <w:r>
        <w:rPr>
          <w:b/>
        </w:rPr>
        <w:t>E. 5.4</w:t>
      </w:r>
    </w:p>
    <w:p>
      <w:r>
        <w:t>Der Rüge des Beschwerdeführers, die fraglichen Vorgänge aus den Jahren 2011/2012 lägen denn auch schon bereits 5 bzw. 6 Jahre zurück, ist zumindest unpräzis. Richtig ist, dass die in Frage stehenden Konten bereits im Jahr 2009 eröffnet wurden und dass der Beschwerdeführer mit einer gewissen Wahrscheinlichkeit damals wusste, dass Verdacht auf eine verbrecherische Herkunft der Vermögenswerte auf diesen Konten bestand, mit Sicherheit aber seit den Editionsverfügungen der Bundesanwaltschaft im Jahr 2011. Bereits damals hätte er daher diese Verdachtsgründe dokumentieren und die entsprechenden Meldungen vornehmen müssen. Indessen tat er dies nicht nur damals nicht, sondern er kam diesen Pflichten auch in den folgenden Jahren bis zu seinem Ausscheiden aus der Compliance im Jahr 2014 nicht nach.</w:t>
      </w:r>
    </w:p>
    <w:p>
      <w:r>
        <w:rPr>
          <w:b/>
        </w:rPr>
        <w:t>E. 5.5</w:t>
      </w:r>
    </w:p>
    <w:p>
      <w:r>
        <w:t>Angesichts der wiederholten Pflichtverletzungen und deren Schwere ist das ausgesprochene Berufsverbot nicht zu beanstanden. Die Dauer des Berufsverbotes erweist sich im Ergebnis als ebenfalls verhältnismässig. Die Vorinstanz setzt sie in der unteren Hälfte der gesetzlich vorgesehenen Dauer an. In der Interessenabwägung zwischen dem Regelungszweck des FINMAG und den Nachteilen im wirtschaftlichen Fortkommen des Betroffenen berücksichtigt sie die persönliche und berufliche Situation des Beschwerdeführers. Dass sie wesentliche Punkte nicht oder nicht genügend berücksichtigt habe, bringt er nicht vor. Er macht auch keine ungewöhnlich lange faktische Vorwirkung des Berufsverbotes geltend, die in der Bemessung der Massnahme hätte einfliessen sollen. Solches ist auch nicht ersichtlich. Schliesslich hält die Dauer des Berufsverbots auch unter Berücksichtigung des beruflichen Werdeganges, der Funktion und der Tätigkeit des Beschwerdeführers bei der Bank L._______ vor Bundesrecht stand.</w:t>
      </w:r>
    </w:p>
    <w:p>
      <w:r>
        <w:rPr>
          <w:b/>
        </w:rPr>
        <w:t>E. 6</w:t>
      </w:r>
    </w:p>
    <w:p>
      <w:r>
        <w:t>Im Ergebnis erweist sich die Beschwerde daher als unbegründet, weshalb sie abzuweisen ist, soweit darauf einzutreten ist.</w:t>
      </w:r>
    </w:p>
    <w:p>
      <w:r>
        <w:rPr>
          <w:b/>
        </w:rPr>
        <w:t>E. 7</w:t>
      </w:r>
    </w:p>
    <w:p>
      <w:r>
        <w:t>Bei diesem Ausgang des Verfahrens sind die Verfahrenskosten dem Beschwerdeführer aufzuerlegen (Art. 63 Abs. 1 VwVG).</w:t>
      </w:r>
    </w:p>
    <w:p>
      <w:r>
        <w:rPr>
          <w:b/>
        </w:rPr>
        <w:t>E. 8</w:t>
      </w:r>
    </w:p>
    <w:p>
      <w:r>
        <w:t>Als vollständig unterliegende Partei hat der Beschwerdeführer keinen Anspruch auf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