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B-4783/2012 vom 24. Juni 2014</w:t>
      </w:r>
    </w:p>
    <w:p>
      <w:r>
        <w:t>Bundesverwaltungsgericht, 2014-06-24, DE</w:t>
      </w:r>
    </w:p>
    <w:p>
      <w:r>
        <w:rPr>
          <w:b/>
        </w:rPr>
        <w:t xml:space="preserve">Quelle: </w:t>
      </w:r>
      <w:r>
        <w:t>https://mcp.opencaselaw.ch/entscheid/bvger_B-4783_2012</w:t>
      </w:r>
    </w:p>
    <w:p>
      <w:r>
        <w:t>FR: TAF B-4783/2012 du 24 juin 2014</w:t>
      </w:r>
    </w:p>
    <w:p>
      <w:r>
        <w:t>IT: TAF B-4783/2012 del 24 giugno 2014</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17. Juli 2012. Die Beschwerdeführerin hat frist- und formgerecht Beschwerde erhoben (Art. 60 ATSG). Als Adressatin der angefochtenen Verfügung ist sie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portugiesische Staatsbürgerschaft und wohnt in Portugal,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17. Juli 2012 in Kraft standen; weiter aber auch alle übrigen Vorschriften, die für die Beurteilung der streitigen Verfügung im vorliegend massgeblichen Zeitraum von Belang sind. Da sich vorliegend der zu beurteilende Sachverhalt im Zeitraum von Juni 2004 bis Juli 2012 zugetragen hat, sind bis zum 31. Dezember 2007 die auf den 1. Januar 2004 in Kraft getretenen Bestimmungen der 4. IV-Revision anwendbar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vorliegend, ob die Vorinstanz zu Recht die bisher ausgerichtete halbe Invalidenrente wegen Änderung des Invaliditätsgrades aufgehoben hat, wobei die Frage im Zentrum steht, ob sich der Gesundheitszustand der Beschwerdeführerin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Fassung) bzw. während mindestens drei Jahren gemäss Art. 36 Abs. 1 IVG (in der ab 1. Januar 2008 geltenden Fassung). Diese Bedingungen müssen kumulativ gegeben sein. Die Beschwerdeführerin hat unbestrittenermassen während mehr als eines Jahres, aber auch während mehr als drei Jahren Beiträge an die schweizerische Alters-, Hinterlassenen- und Invalidenversicherung geleistet, so dass die Mindestbeitragsdauer für den Anspruch auf eine ordentliche Invalidenrente sowohl alt- wie auch neurechtlich erfüllt ist.</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4.5</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die Person bei im Übrigen unveränderten Umständen täte, wenn keine gesundheitliche Beeinträchtigung bestünde. Für die Bestimmung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 Bei Teilzeit-Erwerbstätigen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4.7</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4.8</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w:t>
      </w:r>
    </w:p>
    <w:p>
      <w:r>
        <w:rPr>
          <w:b/>
        </w:rPr>
        <w:t>E. 4.9</w:t>
      </w:r>
    </w:p>
    <w:p>
      <w:r>
        <w:t>Im vorliegenden Fall wurde eine derartige materielle Abklärung bei der ursprünglichen Rentenzusprechung vom 3. Juni 2004 vorgenommen. Bei der Rentenrevision im Jahr 2006 holte die Vorinstanz lediglich das ausgefüllte Revisionsformular der Beschwerdeführerin ein. Die mit Mitteilung vom 29. Dezember 2006 abgeschlossene Revision bestätigte den Rentenzuspracheentscheid und beinhaltete keine umfassende Prüfung des Sachverhalts. Der Sachverhalt am 3. Juni 2004 bildet daher den massgeblichen Referenzpunkt für die Frage, ob sich der gesundheitliche Zustand sowie die Arbeitsfähigkeit der Beschwerdeführerin in rentenrelevantem Ausmass verbessert haben.</w:t>
      </w:r>
    </w:p>
    <w:p>
      <w:r>
        <w:rPr>
          <w:b/>
        </w:rPr>
        <w:t>E. 5</w:t>
      </w:r>
    </w:p>
    <w:p>
      <w:r>
        <w:t>Beim Erlass der vorliegend als Vergleichsbasis dienenden Verfügung vom 3. Juni 2004 stützte sich die Vorinstanz für die Beurteilung des Gesundheitszustandes und der Arbeitsfähigkeit der Beschwerdeführerin auf das Gutachten von Dr. med. C._______ vom 6. Mai 2003 und deren Ergänzung vom 9. Juni 2003 sowie auf den Bericht der Haushaltsabklärung vom 3. Juli 2003 (vgl. kant. IV act. 123, 125 und 126).</w:t>
      </w:r>
    </w:p>
    <w:p>
      <w:r>
        <w:rPr>
          <w:b/>
        </w:rPr>
        <w:t>E. 5.1</w:t>
      </w:r>
    </w:p>
    <w:p>
      <w:r>
        <w:t>Dr. med. C._______, Facharzt für Rheumatologie, führte in seinem Gutachten vom 6. Mai 2003 zusammengefasst aus, dass bei der Beschwerdeführerin eine relevante strukturelle Pathologie am linken oberen Sprunggelenk mit einer deutlich eingeschränkten Beweglichkeit, einer Spitzfussstellung von gut 10°, einer deutlichen Reduktion der Plantarflexion (Restbeweglichkeit von 30°), einer lokalen periartikulären Weichteilschwellung und einer lokalen Überwärmung als Ausdruck eines lokalen Reizzustandes bestehe. Neben diesen Befunden bestünden am linken oberen Sprunggelenk noch geringfügige Schmerzen in der Kreuzgegend als Ausdruck eines funktionell-mechanischen lumbospondylogenen Syndroms, ohne relevante muskuläre Dysbalance, welche vermutlich auf eine statische Fehlbelastung im Rahmen des Schmerzsyndroms des Fusses zurückzuführen sei. Die Belastbarkeit des linken Beines (Sprunggelenksregion) sei durch die entwickelte sekundäre Arthrose des linken oberen Sprunggelenkes eingeschränkt. Er stellte bei der Beschwerdeführerin folgende Diagnosen mit Auswirkungen auf die Arbeitsfähigkeit: - Beginnende sekundäre OSG-Arthrose links nach - Trimalleolar-Luxationsfraktur links am 24. September 1999 - Osteosyntheseversorgung (4-Loch 1/3-Rohr Antigleitplatte mit Zugschraube durch die Platte, Schraubenosteosynthese des Malleolus medialis) am 28.09.1999 - Offene Gelenksrevision von medial und lateral her mit Nachglätten von osteophytären Reaktionen, Abtragen von Randosteophyten am 18.10.2001 - Konventionell-radiologisch Verdacht auf beginnende Sekundärarthrose des oberen Sprunggelenkes - Mildes lumbospondylogenes Syndrom funktionell-mechanischer Genese (kernspintomographisch: Bilaterale Spondylarthrose L5/S1; Kernspintomographie von 2002) Zudem stellte Dr. med. C._______ noch folgende Diagnosen ohne Auswirkungen auf die Arbeitsfähigkeit: - Arterielle Hypertonie - Status nach Appendektomie 1960 - Belastete Familienanamnese mit Diabetes mellitus Des Weiteren stellte Dr. med. C._______ fest, dass bei der Beschwerdeführerin keine Reduktionen der Belastbarkeit auf der psychisch-geistigen Ebene respektive geistig-intellektuellen Ebene bestehen würden. Ebenso bestehe keine Reduktion der Belastbarkeit der oberen Extremitäten, des Achsenskelettes und auch des rechten Beines. Eine Einschränkung der Fein- oder Grobmotorik der oberen Extremitäten, des Rumpfes bzw. des rechten Beines könne nicht objektiviert werden. Die Beschwerdeführerin sei in der Lage, wiederholt Gewichte von 5 kg anzuheben und zu tragen, über 1 - 1 ½ Stunden zu sitzen und bis maximal 1 - 1 ½ Stunden zu gehen. Die bisherige Tätigkeit der Beschwerdeführerin im Reinigungsdienst sei ihr aufgrund der strukturellen Defizite am Sprunggelenk und den erforderlichen beruflichen Belastungen dieses Gelenks nur noch zu maximal 50 % zumutbar. Dabei bestehe zusätzlich eine verminderte Leistungsfähigkeit von rund 25 %, namentlich für die dynamischen Belastungen des Fussgelenkes beispielsweise beim Gehen auf unebener Unterlage, beim Treppen auf- und abgehen, beim wiederholten Arbeiten in kniender Arbeitsposition. Ferner komme es durch eine zunehmende Belastung während der Alltagsaktivität zu einem verstärkten Auftreten von Schmerzen und lokalen Schwellungen dieses Gelenks. Im Ergänzungsbericht zum Gutachten nahm Dr. med. C._______ detailliert zu der Arbeitsfähigkeit in einer angepassten Tätigkeit Stellung. Er führte aus, dass die Beschwerdeführerin in einer dem Leiden angepassten Tätigkeit zu 50 % arbeitsfähig sei. Wegen den zunehmenden Schmerzen und Schwellungen des linken Sprunggelenkes unter mechanischer Belastung und der damit verbundenen eingeschränkten Leistungstoleranz, bestehe eine zusätzlich verminderte Leistungsfähigkeit. Diese habe allerdings nur bei einer Beschäftigung mit hohem Anteil von Gehen auf ebenem und unebenem Boden sowie Treppensteigen Gültigkeit. Sie betrage 25 %. Für eine rein sitzende Tätigkeit mit geringer mechanischer Beanspruchung der Gelenke der unteren Extremitäten bestehe keine zusätzliche Einschränkung der Leistungsfähigkeit. Der Beschwerdeführerin könne daher eine Arbeitsleistung von 50 % zugemutet werden. Dabei müsse die Möglichkeit bestehen, hin und wieder die Arbeitsposition zu ändern und herumzugehen sowie das linke Bein hin und wieder hochzulagern. Ferner müsse der Arbeitsplatz das wiederholte Treppen auf- und abgehen, das Gehen über eine Stunde auf ebener und unebener Unterlage, das Klettern auf Leitern sowie Arbeiten, bei welchen die Beschwerdeführerin von einer Stufe herunterspringen müsse, ausschliessen. In diesem Sinne seien als zumutbare Arbeitsleistungen administrative Tätigkeiten in einem Sekretariat, in einem Auskunftsbüro, in einer Fabrik als Lagerkontrolleurin, als Mitarbeiterin bei der Qualitätskontrolle eines Fabrikationsablaufes, an einer Fertigungseinheit beispielsweise in der Uhrenindustrie, an einem Billettschalter beispielsweise im Kino oder Theater oder in einem Reinigungsdienst, wo die Beschwerdeführerin nicht wiederholt Treppen auf- und abgehen und keine Arbeiten in kniender Arbeitsposition erledigen müsse, zu definieren.</w:t>
      </w:r>
    </w:p>
    <w:p>
      <w:r>
        <w:rPr>
          <w:b/>
        </w:rPr>
        <w:t>E. 5.2</w:t>
      </w:r>
    </w:p>
    <w:p>
      <w:r>
        <w:t>Im Abklärungsbericht Haushalt vom 3. Juli 2003 wurde festgehalten, dass die Beschwerdeführerin bei guter Gesundheit nach wie vor zu 80 % einer ausserhäuslichen Erwerbstätigkeit nachgehen würde und zu 20 % im Haushalt tätig wäre. Es wurde aufgrund der gesundheitlichen Beeinträchtigungen der Beschwerdeführerin im gesamten Haushalt eine Einschränkung von 17 % festgestellt.</w:t>
      </w:r>
    </w:p>
    <w:p>
      <w:r>
        <w:rPr>
          <w:b/>
        </w:rPr>
        <w:t>E. 6</w:t>
      </w:r>
    </w:p>
    <w:p>
      <w:r>
        <w:t>Für die neuerliche Beurteilung des Gesundheitszustandes und der Arbeitsfähigkeit stützte sich die Vorinstanz hauptsächlich auf das zuhanden der Unfallversicherung der Beschwerdeführerin erstellte Gutachten von Dr. med. A._______ vom 25. September 2011 und auf die Stellungnahmen der RAD-Ärztin Dr. med. B._______ (vgl. IV act. 19, 24, 45).</w:t>
      </w:r>
    </w:p>
    <w:p>
      <w:r>
        <w:rPr>
          <w:b/>
        </w:rPr>
        <w:t>E. 6.1</w:t>
      </w:r>
    </w:p>
    <w:p>
      <w:r>
        <w:t>Dr. med. A._______, Facharzt für Rheumatologie, diagnostizierte in seinem Gutachten vom 25. September 2011 bei der Beschwerdeführerin folgende Diagnosen: - Chronische Schmerzen im linken Bein - bei leicht verminderter Sprunggelenksbeweglichkeit links (leicht eingeschränkte Extension und Eversion) - bei wenig ausgeprägter Arthrose im linken Sprunggelenk (Röntgenbilder vom 15.09.2011) - bei Status nach Velounfall mit Trimalleolar-Luxationsfraktur links am 24.09.1999, Osteosynthese des Malleolus lateralis mit Vierloch-Platte sowie Schraubenosteosynthese des Malleolus medialis mit zwei Spongiosa-Schrauben am 28.09.1999, Metallentfernung am 15.08.2000, sowie offene Gelenkrevision des linken Sprunggelenks mit Abtragung von Randosteophyten am 19.10.2001 - Arterielle Hypertonie (seit mindestens 1999) - leichte Coxarthrosen beidseits Er hielt fest, dass gemäss der Beschwerdeführerin ihre Schmerzen im Verlauf ständig leicht zugenommen hätten. Präzise Angaben, Ereignisse oder eigentliche Aktenstücke dafür hätten jedoch nicht festgehalten werden können. Gemäss der Beschwerdeführerin sei die Symptomatik unspezifisch und betreffe das ganze linke Bein. Sie beklage eine verminderte Kraft, welche jedoch bei der Prüfung nicht nachweisbar gewesen sei. Für die von ihr getätigte Angabe von vier Stürzen als auch für den im ganzen Bein stechenden und das ganze Bein lähmenden Schmerz habe sich keine Erklärung durch die klinische Untersuchung ergeben. Die klinisch rheumatologische Untersuchung sei abgesehen von einem leicht verminderten Bewegungsausmass des linken Sprunggelenks bezüglich Extension und Eversion weitgehend bland, ebenfalls auch die peripher-neurologische Untersuchung und die Koordinationsprüfungen. Einschränkungen bestünden bezüglich Belastbarkeit im linken Sprunggelenk. Die neurologischen Befunde seien symmetrisch und unauffällig. Die radiologische Standortbestimmung ergebe eine wenig ausgeprägte Arthrose im linken Sprunggelenk sowie symmetrische leichte Coxarthrosen. Die Beschwerdeführerin klage nicht über lumbale Schmerzen und auch die Untersuchung habe keine Hinweise auf eine Nervenwurzelreizung oder ein lumbales Problem ergeben. Dr. med. A._______ hielt des Weiteren fest, dass die Beschwerdeführerin seit 2007 überhaupt keine ärztlichen Kontrollen und Behandlungen gehabt habe. Auch gehe sie nicht in die Physiotherapie. Die Beschwerdeführerin gebe bezüglich Schmerzscore auf der Schmerzskala (VAS) im Durchschnitt eine 7 an, mit häufigen Schmerzspitzen bis 10. Sie nehme keine Schmerzmedikamente ein, höchstens gelegentlich selbst gekaufte. Gemäss Dr. med. A._______ habe sich der Gesundheitszustand der Beschwerdeführerin verbessert, da sich heute eine gegenüber im Gutachten von Dr. med. C._______ festgestellten Spitzfussstellung (Extension im linken oberen Sprunggelenk -10°) eine verbesserte Sprunggelenksbeweglichkeit links ergebe. Die Extension betrage heute 0° Grad und somit seien Nullstellung und das freie Stehen erreicht, was sich auch beim Test des Fersenstandes klar ausdrücke. Die heute zusätzlich bestehende beginnende Coxarthrose beidseits sei symmetrisch und altersentsprechend. Die Beschwerdeführerin erachte sich in verschiedenen Tätigkeiten als behindert, ohne diese präzise beschreiben zu können. Gemäss ihren Aussagen sei für die Reinigung des Hauses und insbesondere für die Gartenarbeit im Wesentlichen ihr Gatte zuständig, so dass sie nicht auf fremde Hilfe angewiesen sei. Mühe habe sie bei Tätigkeit über Kopfhöhe wie beispielsweise das Reinigen von hochgelegenen Gestellen. Das Gehen auf unebenen Boden sei schwierig. Auf die präzise Frage nach der freien Gehstrecke hätten sich ausweichende Antworten ergeben. Schliesslich habe er die Angabe erhalten, dass die Beschwerdeführerin etwa fünfundvierzig bis sechzig Minuten auf ebener Fläche gehen könne. Stehen könne sie nicht länger als drei bis vier Stunden, wobei zwei Stunden meistens schon zu viel seien. Gehen auf unebenem Boden oder Treppen hinunter steigen seien nur wenige Minuten möglich. Selten nehme sie auch die Stöcke. Für die damalige Arbeitstätigkeit als Hausdienstangestellte in stets stehender Position sei durch die sekundäre Arthrose im linken Sprunggelenk eine schmerzbedingte Einschränkung von geschätzt 50 % gegeben. Für eine angepasste vorwiegend sitzende oder nicht stehende Tätigkeit ohne starke Belastung des linken Beines bestehe aus rheumatologischer Sicht eine volle Einsatzfähigkeit.</w:t>
      </w:r>
    </w:p>
    <w:p>
      <w:r>
        <w:rPr>
          <w:b/>
        </w:rPr>
        <w:t>E. 6.2</w:t>
      </w:r>
    </w:p>
    <w:p>
      <w:r>
        <w:t>Die RAD-Ärztin Dr. med. B._______, Fachärztin für Allgemeine Medizin, hielt nach Prüfung des Gutachtens von Dr. med. A._______ in ihrer Stellungnahme vom 2. Januar 2012 zusammengefasst fest, dass daraus deutlich eine objektivierbare Verbesserung der linksseitigen Fussproblematik, welche sowohl anamnestisch als auch klinisch als einzige gesundheitliche relevante Problematik der Beschwerdeführerin imponiere, hervorgehe. Der Bewegungsumfang des linken Fusses sei im Vergleich zum Vorgutachten von 2003 vergrössert, so dass auch der einbeinige Fersenstand möglich sei. Schmerzen seien anamnestisch von der Beschwerdeführerin zwar als stark vorhanden, sich allmählich im Verlaufe der Jahre verschlimmernd, teilweise sogar den Maximalwert von 10 ("unerträglich") auf der subjektiven Skala erreichend, angegeben worden. In der Untersuchung hätten sich jedoch keinerlei Schmerzen provozieren lassen. Die überaus hohe Bewertung der Schmerzintensität in der Schmerzskala lasse sich nicht mit dem seit mehreren Jahren genannten Fehlen jeglicher medikamentöser oder anderweitiger Behandlung in Einklang bringen. Ein leichtgradiges Rückenschmerzsyndrom sei ohne funktionell relevante Befunde. Es habe sich seit der letzten Begutachtung zumindest nicht verschlimmert, sondern eher verbessert. Es habe sich weder eine ausgeprägte Wirbelsäulenfehlform noch eine verminderte Beweglichkeit in einem oder mehreren Wirbelsäulenabschnitt(en) objektiven lassen. Dr. med. B._______ erachtete sogar - im Gegensatz zu Dr. med. A._______ - eine Arbeitsfähigkeit in der angestammten Tätigkeit als durchaus möglich, da die Beschwerdeführerin bis zu vier Stunden am Stück stehen und eine Stunde am Stück in der Ebene gehen könne. Eine volle Arbeitsfähigkeit in einer angepassten Tätigkeit beurteilte sie als seit jeher, spätestens jedoch ab dem Datum der Begutachtung durch Dr. med. A._______, gegeben.</w:t>
      </w:r>
    </w:p>
    <w:p>
      <w:r>
        <w:rPr>
          <w:b/>
        </w:rPr>
        <w:t>E. 7.1</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sondern dessen Inhalt (BGE 125 V 351 E. 3a; AHI 2001 S. 113 f. E. 3a; RKUV 2003 U 487 S. 345 E. 5.1).</w:t>
      </w:r>
    </w:p>
    <w:p>
      <w:r>
        <w:rPr>
          <w:b/>
        </w:rPr>
        <w:t>E. 7.3</w:t>
      </w:r>
    </w:p>
    <w:p>
      <w:r>
        <w:t>Auch die Stellungnahmen des regionalärztlichen Dienstes der Vorinstanz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7.4</w:t>
      </w:r>
    </w:p>
    <w:p>
      <w:r>
        <w:t>Dass sowohl die RAD-Ärztin Dr. med. B._______ als auch die Vorinstanz im vorliegenden Fall das Gutachten von Dr. med. A._______ vom 25. September 2011 als schlüssig erachteten, ist nicht zu beanstanden. Das Gutachten ist umfassend und wurde sorgfältig erstellt. Es stellt auf eine ausführliche eigene Untersuchung wie auch auf die vorhandenen medizinischen Akten ab und berücksichtigt die geklagten Beschwerden. Die Darlegung der Zusammenhänge sowie die gesamtmedizinische Beurteilung der Arbeitsfähigkeit der Beschwerdeführerin sind im Ergebnis einleuchtend und nachvollziehbar. Aus dem Gutachten von Dr. med. A._______ geht hervor, dass die Beschwerdeführerin aktuell keine somatischen Leiden mit Auswirkung auf ihre Arbeitsfähigkeit mehr aufweist. Die Arthrose im linken Sprunggelenk ist gemäss neuen Röntgenbildern nur wenig ausgeprägt. Zudem ermöglicht die verbesserte Sprunggelenksbeweglichkeit im linken Fuss nun eine Nullstellung und das freie Stehen. Im Vergleich zum revisionsrechtlichen Ausgangszeitpunkt liegt damit eine Verbesserung des Gesundheitszustands der Beschwerdeführerin vor. Der Umstand, dass die Beschwerdeführerin seit 2007 weder in medizinischer noch physiotherapeutischer Behandlung ist und auch keine Schmerzmittel einnehmen muss, spricht ebenfalls dafür, dass sich ihr Gesundheitszustand wesentlich verbessert hat. Die Stellungnahmen von Dr. med. B._______ vermögen ebenfalls zu überzeugen. Sie verfügt zwar nicht über einen Facharzttitel in der Disziplin Rheumatologie. Dennoch ist sie als Fachärztin für Allgemeine Medizin grundsätzlich in der Lage, schlüssig und zuverlässig zu beurteilen, ob - nach Einsicht in das rheumatologische Gutachten von Dr. med. A._______ - sich die medizinische Situation in einer für den Anspruch erheblichen Weise verändert haben könnte. Dem Gutachten von Dr. med. A._______ und den RAD-Stellungnahmen von Dr. med. B._______ ist daher volle Beweiskraft zuzuerkennen, zumal keine konkreten Indizien gegen die Zuverlässigkeit dieser medizinischen Berichte sprechen (vgl. BGE 125 V 353 E. 3b/bb).</w:t>
      </w:r>
    </w:p>
    <w:p>
      <w:r>
        <w:rPr>
          <w:b/>
        </w:rPr>
        <w:t>E. 8</w:t>
      </w:r>
    </w:p>
    <w:p>
      <w:r>
        <w:t>Wie nachfolgend aufzuzeigen ist, vermögen die Berichte von Dr. O._______ und Dr. S._______, welche vom portugiesischen Versicherungsträger eingereicht wurden, keine erhebliche Zweifel an der Beweiswertigkeit des Gutachtens von Dr. med. A._______ zu begründen.</w:t>
      </w:r>
    </w:p>
    <w:p>
      <w:r>
        <w:rPr>
          <w:b/>
        </w:rPr>
        <w:t>E. 8.1</w:t>
      </w:r>
    </w:p>
    <w:p>
      <w:r>
        <w:t>Dr. O._______ hielt im Arztbericht gemäss Formular E 213 fest, dass bei der Beschwerdeführerin im unteren linken Muskel eine Verkürzung von 1 cm vorliege. Die Beugung und Streckung des linken Knöchelgelenks betrage 10°. Die Beschwerdeführerin könne ihre Tätigkeit in einem Pflegeheim nicht mehr ausüben. Eine Verbesserung des derzeitigen Gesundheitszustandes könne nicht erzielt werden. Sie könne regelmässig noch leichte Arbeit verrichten. Es seien dabei diverse Einschränkungen zu berücksichtigen wie Wechselschicht, wechselnde Körperhaltung, kein besonderer Zeitdruck, kein häufiges Bücken, kein Heben und Tragen von Lasten, kein Klettern oder Steigen und keine Absturzgefahr (vgl. IV act. 39).</w:t>
      </w:r>
    </w:p>
    <w:p>
      <w:r>
        <w:rPr>
          <w:b/>
        </w:rPr>
        <w:t>E. 8.2</w:t>
      </w:r>
    </w:p>
    <w:p>
      <w:r>
        <w:t>Dr. S._______ führte in seinem Bericht vom 14. März 2012 aus, dass die Beschwerdeführerin über Gelenkschmerzen und eine Verschlimmerung des Ödems nach dem Gehen oder Stehen, bereits über einen mittellangen Zeitraum, klage. Die Folgebeschwerden des Unfalls hätten zu einer erheblichen Verringerung der Beweglichkeit des linken Knöchelgelenks, einem permanenten Restödem und einer Claudicatio beim Gehen geführt. Darüber hinaus sei eine Muskelatrophie des linken Beines festgestellt worden. Es seien keine erheblichen Verformungen des Rückfusses zu beobachten. Die Röntgenaufnahmen würden das Vorhandensein einer schweren posttraumatischen Arthrose des linken Tibia-Talus-Gelenkes und einer moderaten regionalen Osteoporose zeigen. Die schwerwiegenden Folgebeschwerden würden für ihre Tätigkeit als Altenpflegegehilfin zu einer Arbeitsunfähigkeit führen (vgl. IV act. 40).</w:t>
      </w:r>
    </w:p>
    <w:p>
      <w:r>
        <w:rPr>
          <w:b/>
        </w:rPr>
        <w:t>E. 8.3</w:t>
      </w:r>
    </w:p>
    <w:p>
      <w:r>
        <w:t>Die RAD-Ärztin Dr. med. B._______ stellte in ihrem Bericht vom 4. Juni 2012 nachvollziehbar und zutreffend fest, dass die Berichte von Dr. O._______ und Dr. S._______ unvollständig und in der Anamnese- und Befunderhebung ungenau seien. So spreche Dr. S._______ von einer posttraumatischen Arthrose des linken Fussgelenkes ohne weitere Konkretisierung, während Dr. med. A._______ nur eine wenig ausgeprägte Arthrose im linken Sprunggelenk beschreibe und dies in der radiologischen Befundung konkret nachweise. Des Weiteren habe Dr. S._______ eine mässiggradige regionale Osteoporose im linken Fuss aufgrund eines Röntgenbildes gestellt. Eine solche Diagnose lasse sich jedoch erfahrungsgemäss durch ein Röntgenbild nicht stellen. Die von Dr. S._______ und Dr. O._______ genannten deutlichen Bewegungseinschränkungen würden nicht objektiviert und durch die klaren orthopädischen Beweglichkeitsangaben von Dr. med. A._______ widerlegt werden. Dr. S._______ erwähne eine muskuläre Atrophie des linken Beines ohne nähere Angaben. Dr. med. A._______ habe links gegenüber rechts im Oberschenkelumfang einen Unterschied von 1 cm und im Unterschenkelumfang einen solchen von 2 cm gefunden, welcher durch eine muskuläre Atrophie mitbedingt sein könne. Diese Einschränkung sei von Dr. med. A._______ berücksichtigt worden und werde durch die Angabe, dass die grobe Kraft in den vier Extremitäten im Allgemeinen gut, das Stuhlsteigen mit dem rechten Bein voran knapp möglich, sogar das Einnehmen einer hockenden Position knapp möglich und im Liegen die Bewegungen problemlos möglich seien, objektiv abgeschwächt.</w:t>
      </w:r>
    </w:p>
    <w:p>
      <w:r>
        <w:rPr>
          <w:b/>
        </w:rPr>
        <w:t>E. 9</w:t>
      </w:r>
    </w:p>
    <w:p>
      <w:r>
        <w:t>Auch die Vorbringen der Beschwerdeführerin gegen das Gutachten von Dr. med. A._______ sowie die Stellungnahmen von Dr. med. B._______, vermögen diese medizinischen Berichte nicht zu erschüttern.</w:t>
      </w:r>
    </w:p>
    <w:p>
      <w:r>
        <w:rPr>
          <w:b/>
        </w:rPr>
        <w:t>E. 9.1</w:t>
      </w:r>
    </w:p>
    <w:p>
      <w:r>
        <w:t>Die Beschwerdeführerin wendet ein, dass keine erhebliche Änderung ihres Gesundheitszustandes vorliege, sondern bloss eine unterschiedliche Beurteilung des Gesundheitsschadens. Dazu gilt festzuhalten, dass die Diagnosen zwar in etwa die Gleichen sind wie im Zeitpunkt der Erstbegutachtung durch Dr. med. C._______. Allerdings haben sich - wie Dr. med. A._______ überzeugend festgestellt hat - die Befunde gegenüber der Erstbegutachtung verändert. Durch die verbesserte Sprunggelenksbeweglichkeit hat sich der Schweregrad des Leidens der Beschwerdeführerin erheblich verringert.</w:t>
      </w:r>
    </w:p>
    <w:p>
      <w:r>
        <w:rPr>
          <w:b/>
        </w:rPr>
        <w:t>E. 9.2</w:t>
      </w:r>
    </w:p>
    <w:p>
      <w:r>
        <w:t>Des Weiteren rügt die Beschwerdeführerin, dass Dr. med. A._______ die Beurteilung aus streng rheumatologischer Sicht vorgenommen habe. Es sei eine interdisziplinäre medizinische Begutachtung, namentlich unter Beizug eines Orthopädie-Facharztes notwendig. Der Gutachter Dr. med. A._______ war als Facharzt für Rheumatologie fachlich qualifiziert, die im Zentrum stehenden somatischen Leiden der Beschwerdeführerin zu beurteilen. Zudem war der Erstbegutachter Dr. med. C._______ ebenfalls ein Rheumatologe und kein Orthopäde. Dieses Vorbringen der Beschwerdeführerin zielt daher ins Leere und ist auch unter Berücksichtigung der Tatsache, dass das Gutachten von Dr. med. A._______ die an den Beweiswert eines ärztlichen Gutachtens gestellten Kriterien erfüllt, unbegründet.</w:t>
      </w:r>
    </w:p>
    <w:p>
      <w:r>
        <w:rPr>
          <w:b/>
        </w:rPr>
        <w:t>E. 9.3</w:t>
      </w:r>
    </w:p>
    <w:p>
      <w:r>
        <w:t>Die Beschwerdeführerin wendet weiter ein, dass aktenkundig falsch sei, dass Dr. med. C._______ in seinem Gutachten die bisherige Tätigkeit noch maximal zu 50 % mit einer verminderten Leistungsfähigkeit von 25 % als zumutbar erachtet habe. Diese Einwendung der Beschwerdeführerin ist nicht korrekt. Dr. med. C._______ hat im Rahmen seiner Begutachtung für die angestammte Tätigkeit eine Arbeitsfähigkeit von 50 % mit einer verminderten Leistungsfähigkeit von 25 % als zumutbar erachtet. In einer angepassten Tätigkeit ging er von einer 50 %igen Arbeitsfähigkeit aus.</w:t>
      </w:r>
    </w:p>
    <w:p>
      <w:r>
        <w:rPr>
          <w:b/>
        </w:rPr>
        <w:t>E. 9.4</w:t>
      </w:r>
    </w:p>
    <w:p>
      <w:r>
        <w:t>Die Beschwerdeführerin macht des Weiteren geltend, dass die Einschränkung bei der Haushaltsführung durch die RAD-Ärztin im Bericht vom Januar 2012 willkürlich beurteilt worden sei und im Widerspruch zum Abklärungsbericht Haushalt vom 18. September 2003 stehe. Eine Verbesserung ihrer Leistungsfähigkeit im Haushalt sei nicht eingetreten, auch wenn der Ehemann im Haushalt gewisse Arbeiten übernehmen müsse, die er vor dem Unfall seiner Ehefrau nicht ausgeführt habe. Die Beschwerdeführerin könne überdies auch keine Gewichte bis 25 Kilogramm heben. Hierzu ist anzumerken, dass sich die RAD-Ärztin Dr. med. B._______ in ihrer Stellungnahme vom 4. Juni 2012 zur unterschiedlichen Beurteilung der Leistungsfähigkeit in der letzten Tätigkeit als Hauswirtschaftsangestellte in einem Altersheim und in der häuslichen Haushaltstätigkeit geäussert hat. Sie hat nachvollziehbar festgestellt, dass sich ein solcher Unterschied in der Beurteilung ergebe, da die letzte Tätigkeit mehr stehende und gehende Arbeiten beinhaltet als der eigene Haushalt. Zudem liessen sich die Arbeiten im Haushalt zeitlich besser verteilen und durch Pausen sowie vermehrtes Sitzen erleichtern. Ausserdem sei im Haushalt die Schadenminderungspflicht zu berücksichtigen. Den Ausführungen von Dr. med. B._______ kann gefolgt werden, weshalb vorliegend auch keine explizite, anteilsmässige Gewichtung der einzelnen Haushaltstätigkeiten notwendig war. Nach der Rechtsprechung haben die im Haushalt Tätigen aufgrund der ihnen obliegenden Schadenminderungspflicht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Dass die Beschwerdeführerin für Arbeiten im Haushalt, welche sie nicht mehr verrichten kann, Hilfe von ihrem Ehemann in Anspruch nehmen muss, steht demnach in Übereinstimmung mit der Rechtsprechung zur Schadenminderungspflicht von im Haushalt tätigen Versicherten und ist nicht zu kritisieren.</w:t>
      </w:r>
    </w:p>
    <w:p>
      <w:r>
        <w:rPr>
          <w:b/>
        </w:rPr>
        <w:t>E. 9.5</w:t>
      </w:r>
    </w:p>
    <w:p>
      <w:r>
        <w:t>Des Weiteren kritisiert die Beschwerdeführerin die Aussage der RAD-Ärztin, dass die medizinische Beurteilung aus dem Jahr 2003 falsch gewesen sei. Die RAD-Ärztin Dr. med. B._______ war in ihrer Stellungnahme vom 2. Januar 2012 tatsächlich der Meinung, dass sowohl für angepasste Tätigkeiten als auch für die Tätigkeiten im Haushalt seit jeher eine 100 %ige Arbeitsfähigkeit bestanden habe. In ihrer Stellungnahme vom 4. Juni 2012 setzte sie dennoch das Datum der Verbesserung der Arbeitsfähigkeit auf den 25. September 2011 (Datum des Gutachtens von Dr. med. A._______) fest.</w:t>
      </w:r>
    </w:p>
    <w:p>
      <w:r>
        <w:rPr>
          <w:b/>
        </w:rPr>
        <w:t>E. 9.6</w:t>
      </w:r>
    </w:p>
    <w:p>
      <w:r>
        <w:t>Zu den spärlichen medizinischen Akten bringt die Beschwerdeführerin vor, dass sie nicht gewusst habe, dass sie ihre gesundheitliche Situation hätte abchecken müssen. Die Beschwerdeführerin ist seit 2007 weder in ärztlicher noch physiotherapeutischer Behandlung. Medikamente nimmt sie keine ein, höchstens gelegentlich selbst gekaufte. Diese Tatsachen erstaunen angesichts der geklagten Schmerzen und der überaus hohen Bewertung der Schmerzintensität in der Schmerzskala. Auch unter diesem Blickwinkel ist daher mit überwiegender Wahrscheinlichkeit davon auszugehen, dass sich der Gesundheitszustand der Beschwerdeführerin seit der Rentenzusprechung erheblich verbessert hat.</w:t>
      </w:r>
    </w:p>
    <w:p>
      <w:r>
        <w:rPr>
          <w:b/>
        </w:rPr>
        <w:t>E. 10</w:t>
      </w:r>
    </w:p>
    <w:p>
      <w:r>
        <w:t>Nach dem Dargelegten ist zusammenfassend festzuhalten, dass sowohl das Gutachten von Dr. med. A._______ vom 25. September 2011 als auch die Stellungnahmen der RAD-Ärztin Dr. med. B._______ voll beweiskräftig sind. Ihre Beurteilungen hinsichtlich der Auswirkungen der bei der Beschwerdeführerin vorhandenen Leiden auf die Arbeits- und Leistungsfähigkeit haben als rechtsgenügliche Entscheidbasis zu dienen. Die Vorinstanz ist demnach zurecht davon ausgegangen, dass die Beschwerdeführerin in einer leidensadaptierten Verweisungstätigkeit ab dem 25. September 2011 zu 100 % arbeitsfähig ist und auch im Bereich Haushalt keine Einschränkungen mehr bestehen.</w:t>
      </w:r>
    </w:p>
    <w:p>
      <w:r>
        <w:rPr>
          <w:b/>
        </w:rPr>
        <w:t>E. 11</w:t>
      </w:r>
    </w:p>
    <w:p>
      <w:r>
        <w:t>Da die Beschwerdeführerin als Teilzeit erwerbstätig (Erwerbstätigkeit 80 %, Haushalt 20 %) zu qualifizieren ist, hat die Vorinstanz den Invaliditätsgrad nach der gemischten Methode berechnet, was einen Invaliditätsgrad von 29 % ergeben hat.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 Die vorinstanzliche Invaliditätsberechnung (vgl. IV act. 28) wird von der Beschwerdeführerin nicht beanstandet. Sie ist korrekt durchgeführt und ergibt einen Gesamtinvaliditätsgrad von 29 % (Teilinvaliditätsgrad im Haushaltsbereich 0 % + Teilinvaliditätsgrad im Erwerbsbereich 36 %), was keinen Anspruch mehr auf eine Invalidenrente begründet.</w:t>
      </w:r>
    </w:p>
    <w:p>
      <w:r>
        <w:rPr>
          <w:b/>
        </w:rPr>
        <w:t>E. 12.1</w:t>
      </w:r>
    </w:p>
    <w:p>
      <w:r>
        <w:t>Im Gebiet der Invalidenversicherung gilt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BGer 9C_163/2009 vom 10. September 2010 E. 4.2.2 mit weiteren Hinweisen). 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BGer 9C_228/2010 vom 26. April 2011 E. 3.3, vgl. aber auch Urteil BGer 9C-367/2011 vom 10. August 2011 E. 3.2 f.).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(Urteile BGer 9C_367/2011 vom 10. August 2011 E. 3.3, 8C_161/2012 vom 5. Juni 2012 E. 5.2). Wenn sich in diesen Fällen keinerlei Anknüpfungspunkte für eine zumutbare Selbsteingliederung bieten, ist ein Aufhebungsentscheid, welchem keine Prüfung der Eingliederungsfrage vorangegangen ist, bundesrechtswidrig (vgl. Urteil BGer 9C_768/2009 vom 10. September 2010 E. 4.2).</w:t>
      </w:r>
    </w:p>
    <w:p>
      <w:r>
        <w:rPr>
          <w:b/>
        </w:rPr>
        <w:t>E. 12.2</w:t>
      </w:r>
    </w:p>
    <w:p>
      <w:r>
        <w:t>Die Beschwerdeführerin war im Zeitpunkt der rentenaufhebenden Verfügung vom 17. Juli 2012 über 59 Jahre alt und bezog während über 8 Jahren eine halbe Invalidenrente. Die Selbsteingliederung kann im vorliegenden Revisionsverfahren nicht ohne Weiteres vorausgesetzt werden, sondern es sind diesbezügliche Abklärungen unter Berücksichtigung aller konkreten Umstände erforderlich. Die Vorinstanz hat vor Erlass der angefochtenen Verfügung indessen keine Prüfung vorgenommen, ob der Beschwerdeführerin eine Selbsteingliederung in einem leidensadaptierten Tätigkeitsgebiet möglich und zumutbar wäre. Dr. med. A._______ hat aus theoretischer Sicht eine volle Einsatzfähigkeit in einer angepassten Tätigkeit postuliert. Gleichzeitig hat er festgehalten, dass eine solche Tätigkeit faktisch wenig realistisch sei (vgl. IV act. 19 S. 23). Trotz diesem Hinweis auf die Schwierigkeit einer allfälligen Eingliederung, hat die Vorinstanz es unterlassen, diesbezügliche Abklärungen zu treffen. Nachdem sich in den Akten in diesem Zusammenhang keinerlei Hinweise befinden, ist es nicht möglich, die Auswirkung der Verbesserung der medizinisch-theoretischen Arbeitsfähigkeit auf die Erwerbsfähigkeit zu beurteilen. Es ist demnach nicht abschliessend beurteilbar, ob es der Beschwerdeführerin im Zeitpunkt des Erlasses der angefochtenen Verfügung möglich und zumutbar war, ihre Arbeitsfähigkeit auf dem ausgeglichenen Arbeitsmarkt im Hinblick auf die Selbsteingliederung zu verwerten. Mit anderen Worten schlägt sich das medizinisch-theoretisch wiedergewonnene Leistungsvermögen nicht ohne Weiteres in einem entsprechend tieferen Invaliditätsgrad nieder. Die vorliegend ohne Prüfung der Eingliederungsfähigkeit der Beschwerdeführerin angeordnete Rentenaufhebung erweist sich demnach als unzulässig.</w:t>
      </w:r>
    </w:p>
    <w:p>
      <w:r>
        <w:rPr>
          <w:b/>
        </w:rPr>
        <w:t>E. 13</w:t>
      </w:r>
    </w:p>
    <w:p>
      <w:r>
        <w:t>Die Beschwerde ist daher gutzuheissen und die angefochtene Verfügung vom 17. Juli 2012 aufzuheben. Die Sache ist mit der Anweisung an die Vorinstanz zurückzuweisen, die Verwertbarkeit der wiedergewonnen Arbeitsfähigkeit zu prüfen und anschliessend eine neue Revisionsverfügung zu erlassen.</w:t>
      </w:r>
    </w:p>
    <w:p>
      <w:r>
        <w:rPr>
          <w:b/>
        </w:rPr>
        <w:t>E. 14.1</w:t>
      </w:r>
    </w:p>
    <w:p>
      <w:r>
        <w:t>Gemäss Art. 63 Abs. 1 VwVG sind die Verfahrenskosten der unterliegenden Partei aufzuerlegen. Die Rückweisung der Sache an die Verwaltung zu weiterer Abklärung und neuer Verfügung gilt im Sozialversicherungsrecht praxisgemäss als volles Obsiegen der Beschwerde führenden Partei (BGE 137 V 210 E. 7.1 und 132 V 215 E. 6). Der geleistete Kostenvorschuss von Fr. 400.- ist der Beschwerdeführerin nach Eintritt der Rechtskraft des vorliegenden Urteils auf ein von ihr bekannt zu gebendes Konto zurückzuerstatten. Der unterliegenden Vorinstanz sind als Bundesbehörde keine Verfahrenskosten aufzuerlegen (Art. 63 Abs. 2 VwVG).</w:t>
      </w:r>
    </w:p>
    <w:p>
      <w:r>
        <w:rPr>
          <w:b/>
        </w:rPr>
        <w:t>E. 14.2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berufsmässig vertreten, weshalb ihr zu Lasten der unterliegenden Vorinstanz eine Parteientschädigung zuzusprechen ist. Unter Berücksichtigung des gebotenen und aktenkundigen Aufwands ist die Parteientschädigung auf Fr. 1'220.- (inkl. Barauslagen) festzulegen.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