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B-4718/2010 vom 27. Oktober 2010</w:t>
      </w:r>
    </w:p>
    <w:p>
      <w:r>
        <w:t>Bundesverwaltungsgericht, 2010-10-27, DE</w:t>
      </w:r>
    </w:p>
    <w:p>
      <w:r>
        <w:rPr>
          <w:b/>
        </w:rPr>
        <w:t xml:space="preserve">Quelle: </w:t>
      </w:r>
      <w:r>
        <w:t>https://mcp.opencaselaw.ch/entscheid/bvger_B-4718_2010</w:t>
      </w:r>
    </w:p>
    <w:p>
      <w:r>
        <w:t>FR: TAF B-4718/2010 du 27 octobre 2010</w:t>
      </w:r>
    </w:p>
    <w:p>
      <w:r>
        <w:t>IT: TAF B-4718/2010 del 27 ottobre 2010</w:t>
      </w:r>
    </w:p>
    <w:p>
      <w:pPr>
        <w:pStyle w:val="Heading2"/>
      </w:pPr>
      <w:r>
        <w:t>Regeste</w:t>
      </w:r>
    </w:p>
    <w:p>
      <w:r>
        <w:t>Öffentliches Beschaffungswesen</w:t>
      </w:r>
    </w:p>
    <w:p>
      <w:pPr>
        <w:pStyle w:val="Heading2"/>
      </w:pPr>
      <w:r>
        <w:t>Erwägungen</w:t>
      </w:r>
    </w:p>
    <w:p>
      <w:r>
        <w:rPr>
          <w:b/>
        </w:rPr>
        <w:t>E. 1</w:t>
      </w:r>
    </w:p>
    <w:p>
      <w:r>
        <w:t>Das Beschwerdeverfahren wird infolge Gegenstandslosigkeit abgeschrieben.</w:t>
      </w:r>
    </w:p>
    <w:p>
      <w:r>
        <w:rPr>
          <w:b/>
        </w:rPr>
        <w:t>E. 2</w:t>
      </w:r>
    </w:p>
    <w:p>
      <w:r>
        <w:t>Es werden keine Verfahrenskosten auferlegt. Der geleistete Kostenvorschuss in der Höhe von Fr. 15'000.- wird der Beschwerdeführerin nach Eintritt der Rechtskraft der vorliegenden Verfügung zurückerstattet.</w:t>
      </w:r>
    </w:p>
    <w:p>
      <w:r>
        <w:rPr>
          <w:b/>
        </w:rPr>
        <w:t>E. 3</w:t>
      </w:r>
    </w:p>
    <w:p>
      <w:r>
        <w:t>Der Beschwerdeführerin wird zulasten der Vergabestelle eine Parteientschädigung in der Höhe von Fr. 20'000.- (inkl. MWSt) zugesprochen.</w:t>
      </w:r>
    </w:p>
    <w:p>
      <w:r>
        <w:rPr>
          <w:b/>
        </w:rPr>
        <w:t>E. 4</w:t>
      </w:r>
    </w:p>
    <w:p>
      <w:r>
        <w:t>Dieser Entscheid geht an: die Beschwerdeführerin (Rechtsvertreter; Gerichtsurkunde, vorab per Fax) die Vergabestelle (Rechtsvertreter; Gerichtsurkunde, vorab per Fax) Für die Rechtsmittelbelehrung wird auf die nächste Seite verwiesen. Der Einzelrichter: Der Gerichtsschreiber: Marc Steiner Martin Buchli Rechtsmittelbelehrung: Gegen diesen Entscheid kann, soweit nicht eine Ausnahme im Sinne von Art. 83 Bst. f des Bundesgerichtsgesetzes vom 17. Juni 2005 (BGG, SR 173.110) vorliegt, innert 30 Tagen nach Eröffnung beim Bundesgericht, 1000 Lausanne 14, Beschwerde in öffentlich-rechtlichen Angelegenheiten geführt werden.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28. Oktober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