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B-4632/2010 vom 21. April 2011</w:t>
      </w:r>
    </w:p>
    <w:p>
      <w:r>
        <w:t>Bundesverwaltungsgericht, 2011-04-21, DE</w:t>
      </w:r>
    </w:p>
    <w:p>
      <w:r>
        <w:rPr>
          <w:b/>
        </w:rPr>
        <w:t xml:space="preserve">Quelle: </w:t>
      </w:r>
      <w:r>
        <w:t>https://mcp.opencaselaw.ch/entscheid/bvger_B-4632_2010</w:t>
      </w:r>
    </w:p>
    <w:p>
      <w:r>
        <w:t>FR: TAF B-4632/2010 du 21 avril 2011</w:t>
      </w:r>
    </w:p>
    <w:p>
      <w:r>
        <w:t>IT: TAF B-4632/2010 del 21 aprile 2011</w:t>
      </w:r>
    </w:p>
    <w:p>
      <w:pPr>
        <w:pStyle w:val="Heading2"/>
      </w:pPr>
      <w:r>
        <w:t>Regeste</w:t>
      </w:r>
    </w:p>
    <w:p>
      <w:r>
        <w:t>Urheberrecht</w:t>
      </w:r>
    </w:p>
    <w:p>
      <w:pPr>
        <w:pStyle w:val="Heading2"/>
      </w:pPr>
      <w:r>
        <w:t>Erwägungen</w:t>
      </w:r>
    </w:p>
    <w:p>
      <w:r>
        <w:rPr>
          <w:b/>
        </w:rPr>
        <w:t>E. 1.1</w:t>
      </w:r>
    </w:p>
    <w:p>
      <w:r>
        <w:t>Beim Beschluss der Vorinstanz vom 18. März 2010 handelt es sich um eine Verfügung gemäss Art. 5 VwVG. Das Bundesverwaltungsgericht ist gemäss Art. 31 des Verwaltungsgerichtsgesetzes vom 17. Juni 2005 (VGG, SR 173.32) Beschwerdeinstanz gegen Verfügungen gemäss Art. 5 VwVG, u.a. auch gegen Verfügungen, die von den eidgenössischen Kommissionen erlassen werden (Art. 33 Bst. f VGG). Um eine solche handelt es sich bei der vorliegenden Verfügung. Nichts Abweichendes sieht Art. 74 Abs. 1 URG vor. Ebenso wenig liegt ein Ausnahmefall gemäss Art. 32 VwVG vor. Das Bundesverwaltungsgericht ist damit für die Behandlung der vorliegenden Streitsache zuständig.</w:t>
      </w:r>
    </w:p>
    <w:p>
      <w:r>
        <w:rPr>
          <w:b/>
        </w:rPr>
        <w:t>E. 1.2</w:t>
      </w:r>
    </w:p>
    <w:p>
      <w:r>
        <w:t>Im Folgenden ist die Beschwerdelegitimation der vier Beschwerdeführenden zu prüfen, welche mit Bezug auf einzelne unter ihnen umstritten ist. Vorauszuschicken ist, dass das Bundesgericht in BGE 135 II 172 E.2 festgehalten hat, die Legitimation zur Beschwerde beurteile sich auch im Bereich der gerichtlichen Überprüfung von Entscheiden der Vorinstanz über das rechtliche Schicksal urheberverwertungsrechtlicher Tarife einzig nach Art. 48 VwVG und nicht nach spezialgesetzlichen Normen. Nach der genannten Bestimmung ist beschwerdeberechtigt, wer vor der Vorinstanz am Verfahren teilgenommen hat oder keine Möglichkeit zur Teilnahme erhalten hat (Art. 48 Abs. 1 Bst. a VwVG), durch die angefochtene Verfügung besonders berührt ist (Art. 48 Abs. 1 Bst. b VwVG) und ein schutzwürdiges Interesse an deren Aufhebung oder Änderung hat (Art. 48 Abs. Bst. c VwVG). Diese Voraussetzungen zur Beschwerdebefugnis gemäss Art. 48 Abs. 1 Bst. a bis c VwVG müssen kumulativ erfüllt sein (Isabelle Häner, in: Auer/Müller/Schindler (Hrsg.), Kommentar zum Bundesgesetz über das Verwaltungsverfahren (VwVG), Zürich 2008, Art. 48, N. 3). Ferner sind zur Beschwerde Personen, Organisationen und Behörden berechtigt, denen ein Bundesgesetz dieses Recht eigens einräumt. Es handelt sich hierbei um die sogenannte ideelle Verbandsbeschwerde, während sich die Beschwerdelegitimation zur sogenannten egoistischen Verbandsbeschwerde, bei der Organisationen ein selbständiges, schutzwürdiges und persönliches Interesse geltend zu machen haben, nach Art. 48 Abs. 1 VwVG richtet (Häner, a.a.O., Art. 48, N. 27 f.).</w:t>
      </w:r>
    </w:p>
    <w:p>
      <w:r>
        <w:rPr>
          <w:b/>
        </w:rPr>
        <w:t>E. 1.2.1</w:t>
      </w:r>
    </w:p>
    <w:p>
      <w:r>
        <w:t>Die Beschwerdelegitimation der Beschwerdeführenden Nummern 1 und 3 ist bei den Parteien unbestritten. Beide haben am vorinstanzlichen Verfahren teilgenommen sind als "massgebende Nutzerverbände" beschwert (vgl. Art. 46 Abs. 2 URG sowie Art. 59 Abs. 2 URG) und aufgrund von Art. 48 Abs. 1 VwVG zur vorliegenden Beschwerde berechtigt (vgl. Urteil des Bundesgerichts 2A.311/2002 vom 29. Januar 2003 E. 1.1).</w:t>
      </w:r>
    </w:p>
    <w:p>
      <w:r>
        <w:rPr>
          <w:b/>
        </w:rPr>
        <w:t>E. 1.2.2</w:t>
      </w:r>
    </w:p>
    <w:p>
      <w:r>
        <w:t>Umstritten ist die Beschwerdelegitimation der Beschwerdeführenden Nummern 2 und 4. Die Beschwerdeführende Nummer 2 trägt dazu vor, sie lasse durch ihre Zweigniederlassung in Zürich die vom Tarif erfassten Geräte in die Schweiz importieren und rechne mit der Beschwerdegegnerin Nummer 3 bereits unter dem "Gemeinsamen Tarif 4d (GT 4d)" ab. Sie sei somit gestützt auf Art. 48 Abs. 1 Bst. b und c VwVG zur Beschwerde legitimiert. Dass ihre Interessen von denjenigen des sie im vorinstanzlichen Verfahren repräsentierenden Verbands nicht abwichen, schliesse ihre Beschwerdelegitimation nicht aus. Die vorliegende Beschwerde sei für sie das einzige rechtliche Mittel, um sich gegen die Tarifgenehmigung zur Wehr zu setzen. Schliesslich sei es denkbar, dass sich der beschwerdeführende Verband zu einem späteren Verfahrenszeit­punkt aus dem Verfahren in irgendeiner Form zurückziehe, den Standpunkt der Beschwerdegegnerinnen anerkenne etc., ohne dass dies im Sinne der Beschwerdeführenden Nummer 2 wäre. Die Beschwerdeführende Nummer 4 macht hinsichtlich ihrer Beschwerdebefugnis geltend, sie verkaufe kommerziell Mobilfunkgeräte mit und ohne dazugehörendem Dienstleistungsabonnement an private und Geschäftskunden in der ganzen Schweiz. Daher sei sie durch die angefochtene Verfügung besonders berührt und habe ein schutzwürdiges Interesse an deren Änderung. Sie sei überdies Mitglied des Beschwerdeführenden Nummer 3 und habe aufgrund der Bestimmungen von Art. 46 Abs. 2 URG und Art. 59 Abs. 2 URG im Sinne von Art. 48 Abs. 1 Bst. a URG keine Möglichkeit gehabt, am vorinstanzlichen Verfahren teilzunehmen. Die Tatsache, dass ein Verband und eines seiner Mitglieder in einem Verfahren gemeinsam aufträten, bedeute nicht, dass das betreffende Mitglied seiner spezifischen Beschwerdelegitimation verlustig gehe. Aus diesen Gründen sei sie durch die angefochtene Verfügung beschwert und legitimiert, diese anzufechten. Die Beschwerdegegnerinnen bringen dagegen vor, die Beschwerdeführenden Nummern 2 und 4 hätten am vorinstanzlichen Verfahren nicht teilgenommen und seien daher nicht beschwerdeberechtigt. Es gehe hier nicht um die Frage der Beschwerdelegitimation von Rechtsinhabern, die Beschwerde gegen eine von Nutzerverbänden und Verwertungsgesellschaften aufgezwungene Unterstellung unter die kollektive Verwertung führten. Die Beschwerdeführenden Nummern 2 und 4 hätten sich als Nutzende im Verfahren der Tarifgenehmigung gemäss dem in Art. 46 Abs. 2 und Art. 59 Abs. 2 URG vorgesehenen System durch einen Nutzerverband vertreten zu lassen. Zur Beschwerde seien sie höchstens berechtigt, wenn sie ein schutzwürdiges Interesse hätten und vom angefochtenen Entscheid mehr als jedermann betroffen wären (Art. 48 Abs. Bst. b und c VwVG). Es seien aber keinerlei Anhaltspunkte festzustellen, weshalb die Beschwerdeführenden Nummern 2 und 4 stärker betroffen seien als die anderen Mitglieder ihrer Verbände, die ihre Interessen jeweils im vorinstanzlichen Verfahren vertreten hätten. Überdies würden ihre Interessen durch die im URG vorgesehenen Verhandlungspartner, also Verwertungsgesellschaften und Nutzerverbände, hinlänglich vertreten. Allfällige divergierende Interessen zwischen den Beschwerdeführenden Nummern 2 und 4 einerseits und den sie repräsentierenden Verbänden andererseits seien bloss theoretischer Natur. Das entsprechende Risiko hafte einem jeden Vertretungsverhältnis an, wobei die urheberrechtliche Regelung explizit ein entsprechendes Repräsentationssystem für das Aushandeln der verwertungsrechtlichen Tarife vorsehe. Im Ergebnis sei auf die Beschwerden der Beschwerdeführerin Nummern 2 und 4 nicht einzutreten, weil beide durch den angefochtenen Entscheid nicht besonders berührt seien und kein schutzwürdiges Interesse aufwiesen. Die Vorinstanz brachte hierzu vor, gemäss der bundesgerichtlichen Rechtsprechung beschränke das im URG vorgesehene System von Verhandlungspartnern im Genehmigungsverfahren für die urheberverwertungsrechtlichen Tarife die Möglichkeit, Beschwerde zu erheben, nicht. Das Bundesgericht setze aber in seiner Rechtsprechung divergierende eigenständige Interessen voraus, damit der verwaltungsrechtliche Beschwerdeweg offen stehe. Solche divergierende Interessen würden von den Beschwerdeführenden Nummern 2 und 4 allerdings nicht geltend gemacht. Die damit einhergehende Bündelung der Rechte auf Seiten der Nutzer wie auch auf Seiten der Berechtigten entspreche der Absicht des Gesetzgebers. Die Beschwerdeführende Nummer 2 habe im vorinstanzlichen Verfahren keinen Parteistatus verlangt, und mache auch anlässlich des Beschwerdeverfahrens nicht geltend, sie hätte in jenes einbezogen werden müssen. Bei Massentarifen sei es unmöglich, einzelne Nutzer in das Verfahren einzubeziehen.</w:t>
      </w:r>
    </w:p>
    <w:p>
      <w:r>
        <w:rPr>
          <w:b/>
        </w:rPr>
        <w:t>E. 1.2.3</w:t>
      </w:r>
    </w:p>
    <w:p>
      <w:r>
        <w:t>Das Bundesgericht hat in BGE 135 II 172 E. 2.3.4. S. 181 anerkannt, dass Inhabern von Rechten des URG ausnahmsweise die Legitimation zur verwaltungsgerichtlichen Beschwerde zukomme, wenn sie ihre Interessen durch das gesetzlich vorgesehene System von Verhandlungen zwischen Verwertungsgesellschaften und Nutzerverbänden nicht genügend repräsentiert sähen. In diesem Zusammenhang ist zu berücksichtigen, dass sich die Betroffenheit und das finanzielle Interesse eines branchenbedingt mehr als alle übrigen Nutzenden von einer Tarifvorlage betroffenen Nutzers zwar ohne Weiteres mit der Betroffenheit und dem finanziellen Interesse eines besonders frequentierten Urheberrechtsberechtigten, wie sie in BGE 135 II 172 zu beurteilen waren, vergleichen lassen.</w:t>
      </w:r>
    </w:p>
    <w:p>
      <w:r>
        <w:rPr>
          <w:b/>
        </w:rPr>
        <w:t>E. 1.2.4</w:t>
      </w:r>
    </w:p>
    <w:p>
      <w:r>
        <w:t>Diese Konstellation ist mit dem vorliegenden Fall entgegen der Auffassung der Beschwerdeführenden Nummern 2 und 4 aber aus einem anderen Grund nicht vergleichbar. Beide sind Nutzerinnen, die ihre Inter­essen während des erstinstanzlichen Verfahrens offenbar durch den Beschwerdeführenden Nummer 1 genügend vertreten gesehen und keine Anstalten getroffen haben, auch vor der Vorinstanz persönlich Verfahrenspartei zu werden. Gemäss Art. 6 VwVG gelten als Parteien von Verwaltungsverfahren nicht nur Personen, deren Rechte und Pflichten die Verfügung berühren soll, sondern auch andere Personen, Organisationen oder Behörden, denen ein Rechtsmittel gegen die Verfügung zusteht, sodass für eine solche Verfahrensteilnahme dieselben Voraussetzungen gelten wie für die vorliegende Beschwerdelegitimation. Zuzustimmen ist der Beschwerdeführenden Nummer 2 zwar darin, dass allein der Umstand, dass die Beschwerdeführende Nummer 1 gleichgelagerte Interessen vertritt, für sich genommen nicht dazu führen kann, ihr die Beschwerdelegitimation abzusprechen. Die parallele Interessenvertretung durch den Beschwerdeführenden Nummer 1 ist allerdings nicht rein zufällig. Ein besonderes Interesse der Beschwerdeführenden Nummern 2 und 4, das über dasjenige der anderen von den Beschwerdeführenden Nummern 1 und 3 vertretenen Nutzer hinausginge, ist weder geltend gemacht worden noch erkennbar. Solange dies nicht der Fall ist, ist es aber hinzunehmen, dass einzelne Mitglieder von Nutzerverbänden ihre Interessen nur unzureichend vertreten sehen, weil der sie vertretende Verband ein Beschwerdeverfahren nicht im Sinne jedes einzelnen seiner Mitglieder zu Ende führt. Die Gefahr divergierender Interessen zwischen einzelnen Nutzern und den sie repräsentierenden Nutzerverbänden hat denn auch nicht dieselbe Qualität wie die analoge Gefahr auf Seiten der Berechtigten im Verhältnis zu den Verwertungsgesellschaften. Das wirtschaftliche Interesse aufgrund der zu vereinbarenden Tarife möglichst tiefe Gebühren zu entrichten, verbindet alle Nutzenden proportional, unabhängig vom Umfang ihrer Nutzung. Einzelne wirtschaftlich stärkere Urheberrechts-Berechtigte haben demgegenüber unter Umständen ein Interesse daran, nicht der kollektiven Verwertung mit den in den Art. 48 f. URG vorgesehenen Verteilungsmechanismen und dem Finanzierungsaufwand für die Tätigkeit der Verwertungsgesellschaften unterstellt zu werden. Vorliegend ist den Beschwerdeführenden Nummern 2 und 4 deshalb das schutzwürdige Interesse an der Aufhebung oder Änderung der angefochtenen Verfügung im Sinne von Art. 48 Abs. 1 Bst. c VwVG abzusprechen, so dass sie nicht in eigenem Namen zur Beschwerdeführung legitimiert sind.</w:t>
      </w:r>
    </w:p>
    <w:p>
      <w:r>
        <w:rPr>
          <w:b/>
        </w:rPr>
        <w:t>E. 1.3</w:t>
      </w:r>
    </w:p>
    <w:p>
      <w:r>
        <w:t>Eingabefrist sowie Anforderungen an Form und Inhalt der Beschwerdeschriften sind gewahrt (Art. 50 Abs. 1 und 52 Abs. 1 VwVG). Die Kostenvorschüsse wurden fristgerecht einbezahlt (Art. 63 Abs. 4 VwVG), und die Rechtvertreter verfügen über eine rechtsgültige Vollmacht. Auch die übrigen Sachurteilsvoraussetzungen sind gegeben (Art. 47 ff. VwVG). Auf die Beschwerden ist somit einzutreten, soweit sie von den Beschwerdeführenden Nummern 1 und 3 erhoben worden sind. Nicht einzutreten ist dagegen auf die Beschwerden der Beschwerdeführenden Nummern 2 und 4, da diese gemäss Art. 48 VwVG nicht zur Beschwerde legitimiert sind.</w:t>
      </w:r>
    </w:p>
    <w:p>
      <w:r>
        <w:rPr>
          <w:b/>
        </w:rPr>
        <w:t>E. 2</w:t>
      </w:r>
    </w:p>
    <w:p>
      <w:r>
        <w:t>Zeitlich seit der Replik der Beschwerdeführenden Nummern 3 und 4 vom 29. November 2010 machen diese geltend, der angefochtene Entscheid über den GT 4e sei aufzuheben, weil der Beschluss trotz des Vorliegens von Ausstandsgründen im Sinne von Art. 10 Abs. 1 VwVG gegen die ehe­malige Präsidentin der Vorinstanz, Frau X._______, unter deren Mitwirkung zustande gekommen sei. Die Folgen der Verletzung einer Ausstandspflicht liegen in der Regel darin, dass der Entscheid, an dem die ausstandspflichtigen Amtsträger mitgewirkt haben, aufzuheben und die betreffenden Verfahrensschritte zu wiederholen sind (Benjamin Schindler, Die Befangenheit der Verwaltung, Zürich/Basel/Genf 2002, S. 217). Der Anspruch auf eine unbefangene Behörde ist formeller Natur. Wird eine Verfügung, die in Missachtung der Ausstandsvorschriften getroffen worden ist, angefochten, ist sie unabhängig davon, ob ein materielles Interesse an ihrer Aufhebung besteht, aufzuheben (Breitenmoser/Spori Fedail, in: Waldmann/Weissenberger, VwVG, Praxiskommentar, Zürich/Basel/Genf 2009, Art. 10, N 103). Die Frage nach einer möglichen Heilung solcher formellen Unzulänglichkeiten im Rechtsmittelverfahren wird von der Rechtsprechung zwar nicht ausgeschlossen, von der Lehre aber kritisch bewertet, da Parteien hierbei eine Instanz verlieren (Kölz/Häner, a.a.O., Rz. 257; Breitenmoser/Spori Fedail, a.a.O., Art. 10, N 106). Die Beschwerdegegnerinnen sind der Auffassung, das Bundesverwaltungsgericht könne allfällige formelle Mängel im vorliegenden Verfahren jedenfalls heilen, da es den Beschluss der Vorinstanz vollumfänglich, also in Bezug auf alle Sachverhalts-, Rechts- und Ermessenfragen überprüfen könne. Diese Auffassung ist allerdings unzutreffend. Zwar beurteilt das Bundesverwaltungsgericht Beschwerden grundsätzlich mit voller Kognition und prüft gemäss Art. 49 Bst. c VwVG grundsätzlich auch die Angemessenheit angefochtener Verfügungen. Es auferlegt sich aber Zurückhaltung, wo die Vorinstanz als unabhängiges Fachgericht über komplexe Fragen des Urheberverwertungsrechts oder Interessenabwägungen zwischen Berechtigten- und Nutzergruppen geurteilt hat (Urteil des Bundesverwaltungsgerichts B-2346/2009 vom 21. Februar 2011 E. 3). Sollte sich erweisen, dass der angefochtene vorinstanzliche Entscheid unter Verletzung von Ausstandspflichten zustande gekommen ist, könnte dieser Mangel im vorliegenden Fall nicht geheilt werden, sondern der angefochtene Beschluss wäre unbesehen der materiellen Beschwerdegründe aufzuheben. Deshalb ist als erstes das Vorliegen von Ausstandsgründen gegen Frau X._______ als ehemalige Präsidentin der Vorinstanz während des erstinstanzlichen Verfahrens zu prüfen.</w:t>
      </w:r>
    </w:p>
    <w:p>
      <w:r>
        <w:rPr>
          <w:b/>
        </w:rPr>
        <w:t>E. 3.1</w:t>
      </w:r>
    </w:p>
    <w:p>
      <w:r>
        <w:t>Gemäss Art. 29 Abs. 1 der Bundesverfassung der Schweizerischen Eidgenossenschaft vom 18. April 1999 (BV, SR 101) hat jede Person in Verfahren vor Gerichts- und Verwaltungsinstanzen Anspruch auf gleiche und gerechte Behandlung sowie auf Beurteilung innert angemessener Frist. Art. 10 VwVG konkretisiert die allgemeinen Verfahrensvoraussetzungen von Art. 29 Abs. 1 BV, indem er den Ausstand in Verwaltungsverfahren des Bundes regelt (vgl. BGE 132 II 485 E. 4.2). Nach Art. 10 Abs. 1 VwVG müssen Personen bei der Vorbereitung und dem Erlass einer Verfügung in den Ausstand treten, die an der Sache ein persönliches Interesse haben (Art. 10 Abs. 1 Bst. a VwVG), mit einer Partei verwandtschaftlich besonders verbunden sind (Art. 10 Abs. 1 Bst. b und bbis VwVG), sich mit der Sache als Parteivertreter bereits beschäftigt haben (Art. 10 Abs. 1 Bst. c VwVG) oder aus anderen Gründen in der Sache befangen sein könnten (Art. 10 Abs. 1 Bst. d VwVG).</w:t>
      </w:r>
    </w:p>
    <w:p>
      <w:r>
        <w:rPr>
          <w:b/>
        </w:rPr>
        <w:t>E. 3.2</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Schindler, a.a.O., S. 74; Reto Feller, in: Auer/Müller/Schindler [Hrsg.], Kommentar zum Bundesgesetz über das Verwaltungsverfahren [VwVG], Zürich 2008, Art. 10, N. 5).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Alfred kölz/ Isabelle häner, Verwaltungsverfahren und Verwaltungsrechtspflege des Bundes, 2. Aufl., Zürich 1998, N. 247; Schindler, a.a.O., S. 91 f.). Eine tatsächliche Befangenheit wird laut bundesgerichtlicher Rechtsprechung für den Ausstand nicht verlangt. Es genügt, wenn Umstände vorliegen, die bei objektiver Betrachtung den Anschein der Befangenheit zu begründen vermögen (vgl. Urteil des Bundesgerichts 1B_234/2007 vom 31. Januar 2008 E. 4.3, mit Hinweisen).</w:t>
      </w:r>
    </w:p>
    <w:p>
      <w:r>
        <w:rPr>
          <w:b/>
        </w:rPr>
        <w:t>E. 3.3</w:t>
      </w:r>
    </w:p>
    <w:p>
      <w:r>
        <w:t>Für verwaltungsinterne Verfahren gilt nicht der gleich strenge Massstab wie gemäss Art. 30 BV und Art. 6 Ziff. 1 EMRK für unabhängige richterliche Behörden (vgl. Urteil des Bundesgerichts 2C_732/2008 vom 24. März 2009 E. 2.2.1, mit Hinweis u.a. auf BGE 125 I 209 E. 8; BGE 112 Ia 142 E. 2d S. 147). Ablehnungs- und Ausstandsbegehren gegen nichtrichterliche Justizpersonen bzw. gegen Personen, die an einem Verwaltungsentscheid in irgendeiner Form beratend oder instruierend mitwirken, sind nach der bundesgerichtlichen Rechtsprechung im Interesse einer beförderlichen Rechtspflege nicht leichthin gutzuheissen (vgl. Urteil des Bundesgerichts 2C_732/2008 vom 24. März 2009 E. 2.2.1, mit Hinweisen). Schiedsgerichtliche Spezialgerichte, das heisst gesetzlich vorgesehene staatliche Schiedsgerichte und Schiedskommissionen, zählen allerdings zu den richterlichen Behörden (Regina Kiener, Richterliche Unabhängigkeit, Verfassungsrechtliche Anforderungen an Richter und Gerichte, Bern 2001, S. 317, mit weiteren Hinweisen). Bei paritätisch unter anderem aus Interessenvertretern unterschiedlicher Lager zusammengesetzten Schiedsgerichten gelten insbesondere für Vorsitzende zusätzlich erhöhte Anforderungen hinsichtlich der Unabhängigkeit. Wer den Vorsitz innehat, muss allen auf dem Spiel stehenden Interessen gleicher­massen unabhängig gegenüberstehen und ist als Garant objektiver Rechtsfindung zu umfassender Neutralität verpflichtet (Kiener, a.a.O., S. 119).</w:t>
      </w:r>
    </w:p>
    <w:p>
      <w:r>
        <w:rPr>
          <w:b/>
        </w:rPr>
        <w:t>E. 3.4</w:t>
      </w:r>
    </w:p>
    <w:p>
      <w:r>
        <w:t>Kiener postuliert darüber hinaus eine proaktive Informationspflicht durch Angehörige richterlicher Behörden mit Bezug auf mögliche Ausstandsgründe. Mitglieder von Justizbehörden seien von Verfassungs wegen verpflichtet, unaufgefordert und von sich aus sämtliche Umstände offenzulegen und anzuzeigen, die in den Augen der Parteien die Besorgnis der Befangenheit nahelegen könnten. Mit Blick auf konkrete Verfahren seien entsprechende Gegebenheiten transparent zu machen, sobald sie den Betroffenen bewusst würden (Kiener a.a.O., S. 328 f. mit weiteren Hinweisen und 348 ff.). Ungenügende Information kann den Anschein der Befangenheit fördern, auch wenn sie eine allfällige Befangenheit nicht als solche beeinflussen kann.</w:t>
      </w:r>
    </w:p>
    <w:p>
      <w:r>
        <w:rPr>
          <w:b/>
        </w:rPr>
        <w:t>E. 3.5</w:t>
      </w:r>
    </w:p>
    <w:p>
      <w:r>
        <w:t>Die Ausstandsgründe des Art. 10 Abs. 1 VwVG haben absolute Geltung. Jedes Behördenmitglied ist dazu verpflichtet, Ausstandsgründe, die gegen seine Mitwirkung sprechen, von sich aus zu beachten, auch wenn keine Verfahrenspartei entsprechende Einwände erhebt. Tritt der Amtsträger bei Vorliegen eines Ausstandsgrunds nicht von sich aus in den Ausstand, hat die Verfahrenspartei ein Ausstandsbegehren zu stellen (Feller, a.a.O., Art. 10, N 33, mit weiteren Hinweisen). Ein solches Ausstandsbegehren ist zu stellen, sobald der Antragsteller von einem Ausstandsgrund Kenntnis erhält. Das verspätete Geltendmachung von Ausstandsgründen verstösst gemäss Praxis gegen den Grundsatz von Treu und Glauben (Breitenmoser/Spori Fedail, a.a.O., Art. 10, N 98, mit Hin­weisen auf die Rechtsprechung). Im Beschwerdeverfahren gegen den Entscheid in der Hauptsache können Ausstandsgründe nur noch vorgebracht werden, wenn der Beschwerdeführer vorher keine Kenntnis von ihnen hatte oder deren Geltendmachung aus anderen Gründen nicht möglich war (Breitenmoser/Spori Fedail, a.a.O., Art. 10, N 112).</w:t>
      </w:r>
    </w:p>
    <w:p>
      <w:r>
        <w:rPr>
          <w:b/>
        </w:rPr>
        <w:t>E. 4</w:t>
      </w:r>
    </w:p>
    <w:p>
      <w:r>
        <w:t>Im vorliegenden Fall werden die Ausstandsgründe von Art. 10 Abs. 1 Bst. a und Bst. d VwVG geltend gemacht.</w:t>
      </w:r>
    </w:p>
    <w:p>
      <w:r>
        <w:rPr>
          <w:b/>
        </w:rPr>
        <w:t>E. 4.1</w:t>
      </w:r>
    </w:p>
    <w:p>
      <w:r>
        <w:t>Ein persönliches Interesse im Sinne von Art. Abs. 1 Bst. a VwVG liegt vor, wenn das mit der Sache befasste Behördenmitglied entweder direkt oder indirekt betroffen ist. Direkt betroffen ist ein Behördenmitglied, wenn es ein unmittelbares persönliches Interesse am Ausgang des Verfahrens hat, mit anderen Worten, wenn der Entscheid für das Behördenmitglied einen direkten Vor- oder Nachteil bewirkt. Bei einer bloss indirekten Betroffenheit hat das Behördenmitglied in den Ausstand zu treten, wenn seine persönlichen Interessen durch den Ausgang des Verfahrens spürbar tangiert werden (Breitenmoser/Spori Fedail, a.a.O., Art. 10, N 41 ff., mit weiteren Hinweisen).</w:t>
      </w:r>
    </w:p>
    <w:p>
      <w:r>
        <w:rPr>
          <w:b/>
        </w:rPr>
        <w:t>E. 4.2</w:t>
      </w:r>
    </w:p>
    <w:p>
      <w:r>
        <w:t>Art. 10 Abs. 1 Bst. d VwVG bildet einen Auffangtatbestand. Um wel­che Gründe es sich bei den "anderen Gründen" handelt, ist jeweils unter den konkreten Umständen des Einzelfalls zu bestimmen. Dabei kann ins­besondere auch das Zusammentreffen verschiedener Umstände, welche für sich allein genommen keinen genügenden Intensitätsgrad für die An­nahme einer Ausstandspflicht aufweisen, zur begründeten Besorgnis der Befangenheit führen (Schindler, a.a.O., S. 111 und 139).</w:t>
      </w:r>
    </w:p>
    <w:p>
      <w:r>
        <w:rPr>
          <w:b/>
        </w:rPr>
        <w:t>E. 5.1</w:t>
      </w:r>
    </w:p>
    <w:p>
      <w:r>
        <w:t>Bevor die Stichhaltigkeit der vorliegend geltend gemachten Ausstandsgründe beurteilt werden kann, ist zu prüfen, ob das Ausstandsbegehren der Beschwerdeführenden 3 und 4 im Zeitpunkt, da sie es gestellt haben, noch zulässig war (vgl. E. 3.5). Sie haben dieses formell erst mit der Einreichung ihrer Replik vom 29. November 2010 gestellt. Dass sie das Ausstandsbegehren erst nach dem Ergehen des Entscheids in der Hauptsache, somit erst im Beschwerdeverfahren gestellt haben, ist nicht unzulässig, da ihnen der Wechsel von Frau X._______ ins Präsidialamt bei der Beschwerdegegnerin Nummer 5 und damit das mögliche Vorliegen eines Ausstandsgrunds im Verlaufe des erstinstanzlichen Verfahrens noch nicht bekannt war. Mit ihrer Beschwerde vom 28. Juni 2010 ha­ben die Beschwerdeführenden Nummern 3 und 4 bereits die Aufhebung des angefochtenen vorinstanzlichen Entscheids verlangt. Daher ist entge­gen der Auffassung der Beschwerdegegnerinnen in den in der Replik geltend gemachten Ausstandsgründen auch keine unzulässige Erweiterung des Streitgegenstands zu sehen. Eine andere Frage ist es, ob die Beschwerdeführenden Nummern 3 und 4 ab dem Zeitpunkt, da ihnen die Ausstandsgründe bekannt waren, noch bis zur Einreichung ihren Replik warten durften, um diese geltend zu machen. Einigkeit besteht insofern zwischen den Verfahrensbeteiligten, als die Beschwerdeführenden Nummern 3 und 4 jedenfalls nicht vor Mitte Oktober 2010 erfahren haben, dass Frau X._______ als Präsidentin der Beschwerdegegnerin Nummer 5 amtiert. Bereits mit einer Verfügung des Bundesverwaltungsgerichts vom 16. September 2010 waren sie aber zur Einreichung einer Replik aufgerufen worden. In ihrem Fristverlängerungsgesuch vom 15. November 2011 liessen sie bereits anklingen, dass sie im Rahmen ihrer Replik nachträglich Ausstandsgründe gegen die ehemalige Präsidentin der Vorinstanz geltend machen würden, aber noch etwas mehr Zeit für Abklärungen in dieser Richtung benötigten. Vor diesem Hintergrund verstösst die Geltendmachung der Ausstandsgründe nicht gegen Treu und Glauben, weil die Beschwerdeführenden damit zu lange zugewartet hätten. Da sie wussten, dass der nächste Verfahrensschritt ohnehin im Einreichen der Repliken bestand, mussten sie nicht befürchten, dass mit weiterem Zuwarten weitere Schritte im verwaltungsgerichtlichen Verfahren umsonst durchgeführt werden könnten. Ferner ist es nachvollziehbar, dass die Beschwerdeführenden Nummern 3 und 4 nach den spärlichen Informationen seitens der Vorinstanz über die neuen Aufgaben ihrer ehemaligen Präsidentin und angesichts des komplexen Sachverhalts Zeit für Abklärungen benötigt haben. Das Ausstandsbegehren ist somit nicht unzulässig verspätet.</w:t>
      </w:r>
    </w:p>
    <w:p>
      <w:r>
        <w:rPr>
          <w:b/>
        </w:rPr>
        <w:t>E. 5.2</w:t>
      </w:r>
    </w:p>
    <w:p>
      <w:r>
        <w:t>Aufgrund des oben Gesagten sind an die Vorinstanz als Eidgenössische Schiedskommission hinsichtlich der Berücksichtigung von Ausstandsgründen ebenso hohe Anforderungen zu stellen wie an eine Justizbehörde (E. 3.3). Dies gilt insbesondere mit Bezug auf deren Vorsitzende, da neben ihr und den unabhängigen Beisitzern auch mit einer Partei ideologisch verbundene Interessenvertreter in der Vorinstanz Einsitz haben (vgl. Art. 57 Abs. 2 du 3 URG). Entgegen der Auffassung der Beschwerdegegnerinnen haben die Beschwerdeführenden Nummern 3 und 4 die möglichen Ausstandsgründe gegen Frau X._______ genügend substantiiert. Nach der Stellungnahme der Beschwerdegegnerin Nummer 5 zu den vom Bundesverwaltungsgericht gestellten Fragen ist davon auszugehen, dass Frau X._______ spätestens ab dem 14. oder 15. April 2010 darüber informiert war, dass sie vom Vorstand der Be­schwerdegegnerin Nummer 5 deren Delegiertenversammlung zur Wahl als Präsidentin vorgeschlagen werden würde. Aufgrund der zweimaligen Anfrage an sie und der gesamten Vorgeschichte konnte sie davon ausge­hen, dass der Beschwerdegegnerin Nummer 5 an ihrer Übernahme des Amtes gelegen war und sie angesichts dessen von der Delegiertenversammlung auch tatsächlich zur Präsidentin der Beschwerdegegnerin Nummer 5 gewählt werden würde, auch wenn sie bis zur Wahl vom 17. Juni 2010 diesbezüglich keine Gewissheit hatte. Nach den Angaben der Vorinstanz wurde der Entwurf der Urteilsbegründung den am Beschluss beteiligten Mitgliedern der Vorinstanz (vgl. Art. 57 URG) erst am 15. April 2010 zur Stellungnahme bis zum 5. Mai 2010 zugestellt. Nach den anwendbaren Verfahrensregeln überprüfen der Präsident oder die Präsidentin der Vorinstanz überdies zunächst allein die schriftliche Begründung eines Beschlusses. Nur wenn deren Abfassung Fragen aufwirft, "kann" die Begründung den übrigen Mitgliedern der Spruchkammer zur Prüfung unterbreitet werden (Art. 16 Abs. 2 URV). Darüber hinaus stellt Art. 16 Abs. 3 URV klar, dass für den Beginn der Rechtsmittelfrist erst die Zustellung des schriftlich begründeten Entscheids massgeblich ist. Das vorinstanzliche Verfahren dauerte also noch bis zum 26. Mai 2010. Dass das Dispositiv des angefochtenen Entscheids bereits am 18. März 2010 inhaltlich feststand, ändert daran nichts. Die Vorinstanz hätte es ohne formelle Wiedererwägung oder Revision noch bis zum Versand der begründeten Urteilsfassung ändern und nötigenfalls weitere Beratungen durchführen können, wenn sich nachträglich noch Fragen ergeben hätten. Aufgrund der vagen Auskunft der Beschwerdegegnerin Nummer 5, wonach ein Vorstandsmitglied "im Vorfeld" der Vorstandssitzung vom 14. April 2010 erneut an Frau X._______ wegen der Übernahme des Präsidialamtes herangetreten sei, erscheint auch nicht ausgeschlossen, dass bereits am 18. März 2010 Ausstandsgründe gegen Frau X._______ vorgelegen haben. Da Ausstandsgründe in jedem Verfahrensstadium und angesichts jeder wie auch immer gearteten Form der Mitwirkung an einem Verfahren auf Seite einer Behörde zu beachten sind, hätte Frau X._______ ab dem 14./15. April 2010 bis zur Erledigung des erstinstanzlichen Verfahrens, das heisst bis zum Versand des begründeten Entscheids durch die Vorinstanz am 26. Mai 2010, den beteiligten Kommissionsmitgliedern und Verfahrensparteien gegenüber offenlegen müssen, dass sie aufgrund ihrer Zusage in den Anschein eines Interessenkonflikts geraten sei oder geraten könnte (E. 3.4). Dass die schriftliche Begründung am 15. April 2010 in den wesentlichen Grundzügen bereits vorgelegen hat, ändert entgegen der Auffassung der Vorinstanz hieran nichts. Die Vorinstanz hätte die beteiligten Parteien dadurch um ihre Zustimmung bitten können, das Verfahren fortzuführen, und sie hätte Frau X._______ innerhalb der Spruchkammer mit Bezug auf ihre besondere Aufgabe bei der Ausarbeitung der Urteilsbegründung ablösen können. Mangels rechtzeitiger Information über die bevorstehende Wahl unterblieb dies.</w:t>
      </w:r>
    </w:p>
    <w:p>
      <w:r>
        <w:rPr>
          <w:b/>
        </w:rPr>
        <w:t>E. 5.3</w:t>
      </w:r>
    </w:p>
    <w:p>
      <w:r>
        <w:t>Im Ergebnis reichen die vorliegenden Gründe damit aus, um objektive Zweifel an der Unbefangenheit von Frau X._______ aufkommen zu lassen und den Anschein einer Befangenheit zu bejahen. Damit ist der Auffangtatbestand des Art. 10 Abs. 1 Bst. d VwVG erfüllt, ohne dass geprüft zu werden braucht, ob zudem der Anschein besteht, Frau X._______ habe ein persönliches Interesse im Sinne von Art. 10 Abs. 1 Bst. a gehabt beziehungsweise ausgeübt (E. 4).</w:t>
      </w:r>
    </w:p>
    <w:p>
      <w:r>
        <w:rPr>
          <w:b/>
        </w:rPr>
        <w:t>E. 6</w:t>
      </w:r>
    </w:p>
    <w:p>
      <w:r>
        <w:t>Angesichts der vorstehenden Erwägungen sind die Hauptbegehren der Beschwerdeführenden Nummern 1 und 3 ohne materielle Prüfung gutzuheissen. Der Beschluss der Vorinstanz betreffend den GT 4e vom 18. März 2010 ist aufzuheben und die Sache zu neuem Entscheid an die Vorinstanz zurückzuweisen.</w:t>
      </w:r>
    </w:p>
    <w:p>
      <w:r>
        <w:rPr>
          <w:b/>
        </w:rPr>
        <w:t>E. 7</w:t>
      </w:r>
    </w:p>
    <w:p>
      <w:r>
        <w:t>Bei diesem Ausgang des Verfahrens werden die unterliegenden Be­schwerdeführenden 2 und 4 anteilsmässig kostenpflichtig (Art. 63 Abs. 1 und 2 VwVG). Die Gerichtsgebühr wäre grundsätzlich, da die Streitwert-Schätzungen der Beschwerdeführenden und Beschwerdegegnerinnen vom 14. Juli 2010 übereinstimmend den Betrag von Fr. 5 Mio. über­steigen, auf Fr. 15'000.- bis Fr. 50'000.- festzusetzen (Art. 4 des Reglements über die Kosten und Entschädigungen vor dem Bundesverwaltungsgericht vom 21. Februar 2008 [VGKE, SR 173.320.2]). Das Minimum von Fr. 15'000.- dürfte auch bei einem wenig aufwändigen Entscheid über Ausstandsfragen wie dem vorliegenden nicht unterschritten werden (Art. 2 Abs. 3 VGKE). Es erschiene vorliegend aber unverhältnismässig, den Beschwerdeführenden 2 und 4 den vollen Anteil der sie treffenden Verfahrenskosten oder den Beschwerdegeg­nerinnen solche aufzuerlegen, da ihre Begehren nicht materiell beurteilt wurden und der effektive Verfahrensaufwand durch ein Fehlverhalten bei der Vorinstanz entstanden ist. In der Sache liegende Gründe können kos­tenmindernd berücksichtigt werden (Art. 6 Bst. b VGKE), weshalb den Beschwerdeführenden 2 und 4 nur Verfahrenskosten im reduzierten Um­fang von je Fr. 2'000.- aufzuerlegen sind. Die von den Beschwerdeführen­den Nummern 1 (solidarisch für Beschwerdeführende Nummern 1 und 2), 3 und 4 geleisteten Kostenvorschüsse in der Höhe von Fr. 15'624.-, Fr. 7'812.- und Fr. 7'812.- sind diesen im Umfang von Fr. 13'624.-, Fr. 7'812.- und Fr. 5'812.- zurückzuerstatten. Den obsiegenden Beschwerdeführenden Nummern 1 und 3 ist eine an­gemessene Parteientschädigung zuzusprechen (Art. 7 ff.VGKE). Diese ist gemäss Art. 64 Abs. 3 VwVG der unterliegenden Gegenpartei, vorliegend den unterliegenden Beschwerdegegnerinnen, die sich auch bezüglich des später erhobenen Ausstandseinwandes mit eigenen Begehren beteiligt haben, unter solidarischer Haftung aufzuerlegen. Im vorliegenden Fall wurde keine eigentliche Kostennote eingereicht, der Vertreter der Be­schwerdeführenden Nummern 3 und 4 beziffert aber den diesen entstan­denen Aufwand mit Fr. 64'000.-. Das Gericht setzt die Entschädigung bei Fehlen einer detaillierten Kostennote auf Grund der Akten fest (Art. 14 Abs. 2 VGKE). In Anbetracht der Aktenlage und des Umstands, dass auf die Beschwerden der Beschwerdeführenden 2 und 4 nicht eingetreten werden konnte, erscheint eine Parteientschädigung von Fr. 2'550.- (inkl. MWSt.) zu Gunsten der Beschwerdeführenden Nummer 1 und eine Par­teientschädigung von Fr. 5'500.- (inkl. MWSt.) zu Gunsten der Beschwer­deführenden Nummer 3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