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B-4511/2012 vom 8. August 2014</w:t>
      </w:r>
    </w:p>
    <w:p>
      <w:r>
        <w:t>Bundesverwaltungsgericht, 2014-08-08, DE</w:t>
      </w:r>
    </w:p>
    <w:p>
      <w:r>
        <w:rPr>
          <w:b/>
        </w:rPr>
        <w:t xml:space="preserve">Quelle: </w:t>
      </w:r>
      <w:r>
        <w:t>https://mcp.opencaselaw.ch/entscheid/bvger_B-4511_2012</w:t>
      </w:r>
    </w:p>
    <w:p>
      <w:r>
        <w:t>FR: TAF B-4511/2012 du 8 août 2014</w:t>
      </w:r>
    </w:p>
    <w:p>
      <w:r>
        <w:t>IT: TAF B-4511/2012 del 8 agosto 2014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d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gegen eine jüngere Markeneintragung innerhalb von drei Monaten nach der Veröffentlichung deren Eintragung Widerspruch erheben (Art. 31 MSchG). Vorliegend erfolgte der am 10. November 2011 von der älteren Marke CH-Nr. 604'520 "DROSSARA" erhobene Widerspruch frist- und formgerecht (vgl. Art. 31 MSchG und Art. 20 MSchV).</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w:t>
      </w:r>
    </w:p>
    <w:p>
      <w:r>
        <w:rPr>
          <w:b/>
        </w:rPr>
        <w:t>E. 4.1</w:t>
      </w:r>
    </w:p>
    <w:p>
      <w:r>
        <w:t>Nach der jüngeren Rechtsprechung ist in Fällen, bei welchen ein Zeichen allgemein für pharmazeutische Präparate registriert ist, vom Verständnis der entsprechenden Fachkreise auszugehen, aber (unabhängig von einer allfälligen Rezeptpflicht) auch die Sichtweise des Endver­brau-chers zu beachten (vgl. zum Ganzen Urteil des Bundesverwaltungsgerichts B-1760/2012 vom 11. März 2013 E. 4.1 "Zurcal/Zorcala", mit Rechtsprechungshinweisen).</w:t>
      </w:r>
    </w:p>
    <w:p>
      <w:r>
        <w:rPr>
          <w:b/>
        </w:rPr>
        <w:t>E. 4.2</w:t>
      </w:r>
    </w:p>
    <w:p>
      <w:r>
        <w:t>Vorliegend ist die Widerspruchsmarke für "pharmazeutische Produkte" in Klasse 5 eingetragen. Als massgebende Verkehrskreise sind daher Fachkreise wie Apotheker und Ärzte sowie das allgemeine Publikum, d.h. der erwachsene Endabnehmer, zu betrachten (vgl. Urteil des Bundesverwaltungsgerichts B-1760/2012 vom 11. März 2013 E. 4.2 "Zurcal/Zorcala").</w:t>
      </w:r>
    </w:p>
    <w:p>
      <w:r>
        <w:rPr>
          <w:b/>
        </w:rPr>
        <w:t>E. 4.3</w:t>
      </w:r>
    </w:p>
    <w:p>
      <w:r>
        <w:t>Es ist schliesslich davon auszugehen, dass das allgemeine Publikum beim Kauf eines Medikaments bzw. eines pharmazeutischen Produktes regelmässig aufmerksamer ist als beim Kauf eines anderen Produktes (vgl. zum Ganzen Urteil des Bundesverwaltungsgerichts B-1760/2012 vom 11. März 2013 E. 4.2 "Zurcal/Zorcala", mit Rechtsprechungshinweisen).</w:t>
      </w:r>
    </w:p>
    <w:p>
      <w:r>
        <w:rPr>
          <w:b/>
        </w:rPr>
        <w:t>E. 5</w:t>
      </w:r>
    </w:p>
    <w:p>
      <w:r>
        <w:t>In Bezug auf die Gleichartigkeit der beanspruchten Waren der Klasse 5 der sich gegenüberstehenden Marken ist festzustellen, dass diese unbestrittenermassen gleichartig sind. Während die Widerspruchsmarke Markenschutz im Zusammenhang mit "Pharmazeutische Erzeugnisse" beansprucht, hat die angefochtene Marke ihr Zeichen für "Pharmazeutische Produkte" hinterlegt. Ungeachtet ihrer jeweiligen besonderen Indikation gelten pharmazeutische Präparate als hochgradig gleichartig (vgl. Entscheid der RKGE vom 15. März 2005 "Silkis/Sipqis", veröffentlicht in: sic! 2005, 576 E. 6). Es ist deshalb - auch ungeachtet einer allfälligen Rezeptpflicht - davon auszugehen, dass eine Warengleichartigkeit vorliegt (vgl. Urteil des Bundesverwaltungsgericht B-1760/2012 vom 11. März 2013 E. 5.2 "Zurcal/Zorcala").</w:t>
      </w:r>
    </w:p>
    <w:p>
      <w:r>
        <w:rPr>
          <w:b/>
        </w:rPr>
        <w:t>E. 6</w:t>
      </w:r>
    </w:p>
    <w:p>
      <w:r>
        <w:t>Angesichts der Gleichartigkeit zwischen den in Klasse 5 beanspruchten Waren gilt es nun zu prüfen, ob vorliegend eine Zeichenähnlichkeit besteht. Wird eine solche bejaht, so ist zu klären, welche Kennzeichnungskraft der Widerspruchsmarke zukommt und damit, wie ähnlich die Marken sein dürfen, die jene neben sich zu dulden hat.</w:t>
      </w:r>
    </w:p>
    <w:p>
      <w:r>
        <w:rPr>
          <w:b/>
        </w:rPr>
        <w:t>E. 6.1.1</w:t>
      </w:r>
    </w:p>
    <w:p>
      <w:r>
        <w:t>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w:t>
      </w:r>
    </w:p>
    <w:p>
      <w:r>
        <w:rPr>
          <w:b/>
        </w:rPr>
        <w:t>E. 6.1.2</w:t>
      </w:r>
    </w:p>
    <w:p>
      <w:r>
        <w:t>Der Gesamteindruck von Wortmarken wird durch Klang, Schriftbild und Sinngehalt geprägt (Marbach, SIWR II/1, N.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Bundesverwaltungsgerichts B-2235/2008 vom 2. März 2010 E. 5 "DERMOXANE/DERMASAN").</w:t>
      </w:r>
    </w:p>
    <w:p>
      <w:r>
        <w:rPr>
          <w:b/>
        </w:rPr>
        <w:t>E. 6.2</w:t>
      </w:r>
    </w:p>
    <w:p>
      <w:r>
        <w:t>Im vorliegenden Fall stehen sich die Zeichen "Drossara" und "Drosiola" gegenüber. Beide Zeichen sind mit 8 Buchstaben gleich lang und haben - entgegen der Ansicht der Beschwerdeführerin, welche die angefochtene Marke in DRO-SI-O-LA aufteilt - drei Silben. Die Vokalfolge der Widerspruchsmarke lautet "O-A-A", jene der angefochtenen Marke "O-I-O-A". Dagegen stehen sich bei der Konsonantenfolge "D-R-S-S-R" und "D-R-S-L" gegenüber, wobei sich gleich viele Konsonanten gegenüberstehen, denn das doppelte "s" wird nicht als einzelner Buchstabe gezählt (Urteil des Bundesverwaltungsgerichts B-953/2013 vom 15. Oktober 2013 E. 5.2 "CIZELLO/SCIE­LO"). Gemeinsam sind beiden Zeichen die Anzahl Buchstaben und Silben, sowie der Wortanfang "Dros" und die Endung auf "A". Es liegen dadurch schriftbildliche und klangliche Gemeinsamkeiten vor, wobei letztere vor allem bezüglich den Anfangskonsonanten und dem Endvokal "-A" bestehen. Schliesslich sind beide Zeichen lexikalisch nicht erfasst und weisen - unstreitig - keinen bestimmbaren Sinngehalt auf.</w:t>
      </w:r>
    </w:p>
    <w:p>
      <w:r>
        <w:rPr>
          <w:b/>
        </w:rPr>
        <w:t>E. 6.3</w:t>
      </w:r>
    </w:p>
    <w:p>
      <w:r>
        <w:t>Damit ist eine Zeichenähnlichkeit, welche durch die klangliche und schriftbildliche Ähnlichkeit im jeweiligen Zeichenanfang begründet wird, zu bejahen. Zwar besteht keine sinngehaltliche Übereinstimmung, doch genügt bei reinen Wortmarken grundsätzlich schon eine Übereinstimmung unter einem der drei Gesichtspunkte Klang, Schriftbild und Sinngehalt um die Zeichenähnlichkeit zu bejahen (vgl. Urteil des Bundesverwaltungsgericht B-6375/2011 vom 12. August 2013 E. 7.5 "FUCIDIN/Fusi­derm"). Die Vorinstanz hat die Zeichenähnlichkeit zu Recht bejaht.</w:t>
      </w:r>
    </w:p>
    <w:p>
      <w:r>
        <w:rPr>
          <w:b/>
        </w:rPr>
        <w:t>E. 7</w:t>
      </w:r>
    </w:p>
    <w:p>
      <w:r>
        <w:t>Abschliessend ist in einer Gesamtbetrachtung und unter Berücksichtigung der Kennzeichnungskraft der Widerspruchsmarke sowie des Aufmerksamkeitsgrades, den die massgeblichen Verkehrskreise bei der Nachfrage der beanspruchten Waren walten lassen, über die Verwechslungsgefahr zu urteilen.</w:t>
      </w:r>
    </w:p>
    <w:p>
      <w:r>
        <w:rPr>
          <w:b/>
        </w:rPr>
        <w:t>E. 7.1</w:t>
      </w:r>
    </w:p>
    <w:p>
      <w:r>
        <w:t>Die Frage der Verwechslungsgefahr zwischen mehrsilbigen Wortmarken, die beide für Pharmazeutika registriert sind, hat die Rechtsprechung wiederholt beschäftigt. Das Vorliegen einer Verwechslungsgefahr wurde gewöhnlich bejaht, wenn die Marken sich entweder nur in ihrer End- oder nur in ihrer Mittelsilbe voneinander unterschieden (BGE 78 II 381 E. 1 "Alucol/Aludrox", Urteil des Bundesverwaltungsgerichts B-953/2013 E. 2.5 "CIZELLO/SCIELO", mit weiteren Hinweisen). Dabei kommt dem Wortanfang in der Regel eine erhöhte Bedeutung zu, weil er besser im Gedächtnis haften bleibt (BGE 127 III 160 E. 2b/cc "Securitas/Securicall", BGE 122 III 382 E. 5 "Kamillosan"; Urteile des Bundesverwaltungsgerichts B-3325/2010 vom 15. Dezember 2010 E. 4.5 "Bally/Tally", B-6012/2008 vom 25. November 2009 E. 4.9 "Stenflex/Star Flex [fig.]" und B-7934/2007 vom 26. August 2009 E. 6.3 "Fructa/Fructaid"). Unbetonte Wortendungen fallen bei der Beurteilung der Verwechslungsgefahr in der Regel weniger ins Gewicht (vgl. Joller, a.a.O., Art. 3 Rz. 153; BGE 112 II 362 E. 2 "Seccolino/Escolino"; Urteil des Bundesverwaltungsgerichts B-2380/2010 vom 7. Dezember 2011 E. 7.3 "Lawfinder/Lexfind.ch [fig.]"; RKGE in sic! 2003 S. 973 ff. E. 4 "Seropram/Citopram").</w:t>
      </w:r>
    </w:p>
    <w:p>
      <w:r>
        <w:rPr>
          <w:b/>
        </w:rPr>
        <w:t>E. 7.2</w:t>
      </w:r>
    </w:p>
    <w:p>
      <w:r>
        <w:t>Bei der Beurteilung der Kennzeichnungskraft eines Zeichens ist zunächst festzuhalten, dass sich diese nach der Unterscheidungskraft der Marke bzw. ihrer Bestandteile bestimmt (Joller, a.a.O., Art. 3 N. 81). Die Widerspruchsmarke "Drossara" ist lexikalisch nicht erfasst und kann auch nicht in lexikalisch bestimmbare Elemente unterteilt werden. Es handelt sich um ein Fantasiezeichen, dessen Sinngehalt unbestrittenermassen im Zusammenhang mit den beanspruchten Waren der Klasse 5 keinen Gemeingutscharakter hat. Die Kennzeichnungskraft einer derartigen Marke und ihr Schutzumfang sind daher grundsätzlich normal (Urteil des Bundesverwaltungsgerichts B-1760/2012 vom 11. März 2013 E. 6.2 "Zurcal/Zorcala"; Joller, a.a.O., Art. 3 Rn. 81).</w:t>
      </w:r>
    </w:p>
    <w:p>
      <w:r>
        <w:rPr>
          <w:b/>
        </w:rPr>
        <w:t>E. 7.3.1</w:t>
      </w:r>
    </w:p>
    <w:p>
      <w:r>
        <w:t>In diesem Zusammenhang machte die Beschwerdegegnerin in ihrem Widerspruch geltend, dass die Widerspruchsmarke bzw. dessen Zeichenelement "DROSSA" Seriencharakter aufweise und aus diesem Grund einen erweiterten Schutzbereich habe (vgl. Widerspruchschrift vom 10. November 2011, Rn. 8 ff.). Sie behauptete, die Widerspruchsmarke bilde zusammen mit ihren schweizerischen Voreintragungen, welche allesamt den Bestandteil "Drossa" im Zeichenanfang aufführen und Schutz für das von der Widerspruchsmarke beanspruchte "Pharmazeutische Produkt" der Klasse 5 beanspruchen, eine Markenserie. Es sind dies die Marken Drossadin (Nr. 2P-276541), Drossafol (Nr. 500862), Drossa (Nr. 520787), Drossadinetten (Nr. 564332), Drossadinol (Nr. 564333), Drossadolor (Nr. 569455), Drossax (Nr. 604521), Drossant (Nr. 604522) und Drossandia (Nr. 604523). Die Vorinstanz kam in ihrem Widerspruchsentscheid vom 27. Juni 2012 zum Schluss, dass sich die Beschwerdegegnerin nicht auf den erweiterten Schutzumfang einer Serienmarke berufen könne, da sie die Bekanntheit der Serie beim Publikum nicht hinreichend substantiiert habe (vgl. Ziff. D4 der angefochtenen Verfügung vom 27. Juni 2012). Daraufhin hat die Beschwerdegegnerin im Beschwerdeverfahren ihre Zugehörigkeit zu einer Markenserie von sich aus nicht mehr thematisiert. Hingegen griff die Beschwerdeführerin diese Thematik in ihrer Beschwerdereplik dahingehend wieder auf, dass sie feststellte, dass der Markenbestandteil "Drossa" dem Hauptbestandteil der Firma der Beschwerdegegnerin entspreche, was "branchenüblich" sei (vgl. Beschwerdereplik vom 6. Dezember 2012, Rn. 5). Damit sei es - "obschon es der Widersprechenden im erstinstanzlichen Verfahren nicht gelungen ist, die behauptete Serienmarke genügend darzulegen" - für die massgeblichen Verkehrskreise naheliegend die Widerspruchsmarke in "Drossa + irgendwas" aufzuteilen (vgl. Beschwerdereplik vom 6. Dezember 2012, Rn. 5). An diese Feststellung knüpfte die Beschwerdegegnerin wiederum an, und beantragte, dass die Beschwerdeführerin auf ihre Aussage behaftet werde und entsprechend Einigkeit über das Vorliegen einer Markenserie bestehe (vgl. Beschwerdeduplik vom 4. März 2013, Rn. 3 f.).</w:t>
      </w:r>
    </w:p>
    <w:p>
      <w:r>
        <w:rPr>
          <w:b/>
        </w:rPr>
        <w:t>E. 7.3.2</w:t>
      </w:r>
    </w:p>
    <w:p>
      <w:r>
        <w:t>Hierzu ist zunächst festzuhalten, dass die Kennzeichnungskraft einer Marke durch deren Verwendung in einer Markenserie gestärkt werden kann (vgl. Joller, a.a.O., Art. 3 N. 101; Willi, a.a.O., Art. 3 N. 116). Die Zugehörigkeit einer Widerspruchsmarke zu einer Markenserie kann im Widerspruchsverfahren zugunsten ihres Schutzumfangs berücksichtigt werden. Dies setzt jedoch voraus, dass die weiteren Serienmarken nicht nur im Register aufgenommen, sondern dem massgebenden Publikum aufgrund ihres Gebrauchs tatsächlich bekannt sind (vgl. Urteil des Bundesverwaltungsgerichts B-5076/2011 E. 9.1 "Doppelrhombus [fig.]/UNLIMITED [fig.]", mit Hinweisen). Die Serie muss dem Publikum als solche bekannt bzw. im Verkehrsverständnis verankert sein, dass der Inhaber den gemeinsamen Markenbestandteil für eine Vielzahl von Marken benützt (vgl. Marbach, SIWR III/1, N. 966; Willi, a.a.O., Art. 3 N. 116).</w:t>
      </w:r>
    </w:p>
    <w:p>
      <w:r>
        <w:rPr>
          <w:b/>
        </w:rPr>
        <w:t>E. 7.3.3</w:t>
      </w:r>
    </w:p>
    <w:p>
      <w:r>
        <w:t>Nun ist die Beschwerdegegnerin der Ansicht, dass die Beschwerdeführerin das Bestehen einer Serienmarke sowie insbesondere deren Bekanntheit beim Publikum anerkannt habe. Dieser Einschätzung kann sich das Gericht nicht anschliessen: Wohl besteht im Widerspruchsverfahren trotz Unter­suchungsmaxime eine Mitwirkungspflicht der Parteien und damit die Möglichkeit, Sachverhalte - analog einem Zivilverfahren - als zwischen den Parteien anerkannt festzustellen (Urteil des Bundesverwaltungsgerichts B-7475/2006 vom 20. Juni 2007 E. 7 "Converse All Stars [fig.]/Army tex [fig.]"). Allerdings besteht zwischen der Beschwerdeführerin und der Beschwerdegegnerin vorliegend einzig dahingehend eine Übereinstimmung, dass in Pharmamarken häufig die Firma der Herstellerin - oder einen Teil dessen - integriert, und diese Tatsache den massgebenden Abnehmern bekannt ist. Mehr und insbesondere nicht das Bestehen und die Bekanntheit einer Serienmarke, hat die Beschwerdeführerin aber entgegen der Ansicht der Beschwerdegegnerin nicht zugestanden. Ganz abgesehen davon, ob eine Parteianerkennung alleine zur Bejahung des Bestehens einer Markenserie überhaupt herangezogen werden könnte, was gegenwärtig offen bleiben kann, ist vorliegend einzig darauf abzustellen, dass bei Marken für Pharmazeutika die Firma der Herstellerin häufig Markenbestandteil ist. Daraus kann die Beschwerdeführerin allerdings nichts mehr zu ihren Gunsten ableiten. Die "marktübliche" Zusammensetzung der Widerspruchsmarke schmälert deren Kennzeichnungskraft nämlich jedenfalls nicht, wenn "Drossa" dem Publikum als Bestandteil der Firma der Beschwerdegegnerin bekannt ist.</w:t>
      </w:r>
    </w:p>
    <w:p>
      <w:r>
        <w:rPr>
          <w:b/>
        </w:rPr>
        <w:t>E. 7.3.4</w:t>
      </w:r>
    </w:p>
    <w:p>
      <w:r>
        <w:t>Schliesslich hat die Beschwerdegegnerin die angebliche Bekanntheit der Markenserie im Beschwerdeverfahren selber nicht weiter substantiiert, selbst als sie in der Beschwerdeduplik die entsprechende Bemerkung der Beschwerdeführerin aufnahm (vgl. E. 7.3.1 hiervor). Wie bereits im vorinstanzlichen Verfahren, beschränkte sie sich auf die Angabe der Registereinträge der Voreintragungen. Es ist daher im Einklang mit der Vorinstanz festzustellen, dass mit diesen Angaben allein die Bekanntheit der Serie beim Publikum nicht hinreichend substantiiert wird.</w:t>
      </w:r>
    </w:p>
    <w:p>
      <w:r>
        <w:rPr>
          <w:b/>
        </w:rPr>
        <w:t>E. 7.3.5</w:t>
      </w:r>
    </w:p>
    <w:p>
      <w:r>
        <w:t>Damit steht fest, dass das Bestehen einer Markenserie weder von der Beschwerdeführerin anerkannt noch von der Beschwerdegegnerin rechtsgenüglich dargelegt wurde. Die Beschwerdegegnerin kann sich in der Folge nicht auf eine erhöhte Kennzeichnungskraft aufgrund einer Zugehörigkeit zu einer Serienmarke berufen. Es ist daher von einem Zeichen mit gesamthaft normaler Kennzeichnungskraft auszugehen (vgl. E. 7.2 hiervor).</w:t>
      </w:r>
    </w:p>
    <w:p>
      <w:r>
        <w:rPr>
          <w:b/>
        </w:rPr>
        <w:t>E. 7.4</w:t>
      </w:r>
    </w:p>
    <w:p>
      <w:r>
        <w:t>Im Sinne einer gesamthaften Würdigung kann nach dem Gesagten festgestellt werden, dass die Vergleichszeichen bezüglich den ersten drei (bzw. rein optisch bei Trennung des Doppel-S vier) Buchstaben und dem Endbuchstaben "A" übereinstimmen. Diesbezüglich besteht grundsätzlich eine klangliche Ähnlichkeit. Auch ist zu berücksichtigen, dass die Warenidentität einen strengen Beurteilungsmassstab nahelegt (Urteil des Bundesverwaltungsgerichts B-5871/2011 vom 4. März 2013 E. 6 "Gadovist/Gadogita"). Indessen ist festzustellen, dass zwischen den Vergleichszeichen keine Übereinstimmung in den weiteren Silben besteht. So unterscheidet sich "ssara" klanglich wie schriftbildlich in nicht unerheblicher Weise von "siola". Dies gilt umso mehr, wenn nur die letzen vier Buchstaben "sara" und "iola" verglichen werden. Während die Widerspruchsmarke mit einem scharfen "s" ausgesprochen wird und als Vokal einzig ein "a" hat, enthält die angefochtene Marke mit "i" und "o" unterscheidbare Vokale und das "s" weich wird ausgesprochen. Angesichts der normalen Kennzeichnungskraft der Widerspruchsmarke und der leicht erhöhten Aufmerksamkeit der Abnehmer ist davon auszugehen, dass die Abnehmer die beiden Marken aufgrund der unterschiedlichen Mittel- und Endsilben voneinander unterscheiden (vgl. Urteil des Bundesverwaltungsgerichts vom 15. Oktober 2013 E. 5.7 "CIZELLO/SCIE­LO").</w:t>
      </w:r>
    </w:p>
    <w:p>
      <w:r>
        <w:rPr>
          <w:b/>
        </w:rPr>
        <w:t>E. 7.5</w:t>
      </w:r>
    </w:p>
    <w:p>
      <w:r>
        <w:t>Zusammenfassend ergibt sich, dass die Beschwerde gutzuheissen und die angefochtene Verfügung aufzuheben ist.</w:t>
      </w:r>
    </w:p>
    <w:p>
      <w:r>
        <w:rPr>
          <w:b/>
        </w:rPr>
        <w:t>E. 8</w:t>
      </w:r>
    </w:p>
    <w:p>
      <w:r>
        <w:t>Bei diesem Ausgang des Verfahrens wird die Beschwerdegegnerin kosten- und entschädigungspflichtig (Art. 63 Abs. 1 VwVG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Da diese der Beschwerdegegnerin aufzuerlegen sind, ist der Beschwerdeführerin der in dieser Höhe geleistete Kostenvorschuss zurückzuerstatten.</w:t>
      </w:r>
    </w:p>
    <w:p>
      <w:r>
        <w:rPr>
          <w:b/>
        </w:rPr>
        <w:t>E. 8.2</w:t>
      </w:r>
    </w:p>
    <w:p>
      <w:r>
        <w:t>Im vorinstanzlichen Verfahren ist die Beschwerdeführerin unterlegen. Aufgrund des Verfahrensausgangs vor Bundesverwaltungsgericht hat sie aber nunmehr auch mit Bezug auf die vorinstanzlichen Kosten als obsiegend zu gelten. Die erstinstanzlichen Verfahrenskosten wurden auf Fr. 800.- festgelegt und von der Beschwerdeführerin vorgeleistet. Sie verbleiben bei der Vorinstanz. Der unterliegenden Beschwerdegegnerin werden die Kosten für das erstinstanzliche Verfahren auferlegt und sie hat diese der Beschwerdeführerin zu ersetzen.</w:t>
      </w:r>
    </w:p>
    <w:p>
      <w:r>
        <w:rPr>
          <w:b/>
        </w:rPr>
        <w:t>E. 8.3</w:t>
      </w:r>
    </w:p>
    <w:p>
      <w:r>
        <w:t>Der obsiegenden Partei kann von Amtes wegen oder auf Antrag eine Entschädigung für die ihr erwachsenen notwendigen Kosten zulasten des Beschwerdeführers zugesprochen werden (Art. 64 Abs. 1 VwVG in Verbindung mit Art. 7 Abs. 1 VKGE.). Vorliegend verlangt die Beschwerdeführerin eine Parteientschädigung, reicht aber keine Kostennote ein. Mangels Kostennote ist die Parteientschädigung zugunsten der Beschwerdeführerin auf Grund der Akten festzusetzen (Art. 14 Abs. 2 Satz 2 i.V.m. Art. 7 Abs. 1 VGKE). Das Beschwerdeverfahren wurde über zwei Schriftenwechsel geführt, ging aber gleichwohl nicht wesentlich über den vorinstanzlichen Aufwand hinaus, weshalb die Beschwerdegegnerin der Beschwerdeführerin für das Beschwerdeverfahren eine Parteientschädigung von Fr. 3'000.- (inkl. MWST) auszurichten hat.</w:t>
      </w:r>
    </w:p>
    <w:p>
      <w:r>
        <w:rPr>
          <w:b/>
        </w:rPr>
        <w:t>E. 8.4</w:t>
      </w:r>
    </w:p>
    <w:p>
      <w:r>
        <w:t>Gemäss Art. 34 MSchG bestimmt die Vorinstanz in welchem Masse die Kosten der obsiegenden Partei im vorinstanzlichen Verfahren von der unterliegenden zu ersetzen sind. Die Vorinstanz sprach der Beschwerdegegnerin für das erstinstanzliche Verfahren eine Entschädigung von Fr. 1'000.- (inkl. MWST) zu. Angesichts des Verfahrensausgangs ist diese Regelung aufzuheben. Entsprechend setzt das Bundesverwaltungsgericht die Parteientschädigung für das erstinstanzliche Verfahren auf Fr. 1'000.- (inkl. MWST) zugunsten der Beschwerdeführerin fest.</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