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B-4420/2010 vom 24. Mai 2011</w:t>
      </w:r>
    </w:p>
    <w:p>
      <w:r>
        <w:t>Bundesverwaltungsgericht, 2011-05-24, FR</w:t>
      </w:r>
    </w:p>
    <w:p>
      <w:r>
        <w:rPr>
          <w:b/>
        </w:rPr>
        <w:t xml:space="preserve">Quelle: </w:t>
      </w:r>
      <w:r>
        <w:t>https://mcp.opencaselaw.ch/entscheid/bvger_B-4420_2010</w:t>
      </w:r>
    </w:p>
    <w:p>
      <w:r>
        <w:t>FR: TAF B-4420/2010 du 24 mai 2011</w:t>
      </w:r>
    </w:p>
    <w:p>
      <w:r>
        <w:t>IT: TAF B-4420/2010 del 24 maggio 2011</w:t>
      </w:r>
    </w:p>
    <w:p>
      <w:pPr>
        <w:pStyle w:val="Heading2"/>
      </w:pPr>
      <w:r>
        <w:t>Regeste</w:t>
      </w:r>
    </w:p>
    <w:p>
      <w:r>
        <w:t>Surveillance de la révision</w:t>
      </w:r>
    </w:p>
    <w:p>
      <w:pPr>
        <w:pStyle w:val="Heading2"/>
      </w:pPr>
      <w:r>
        <w:t>Erwägungen</w:t>
      </w:r>
    </w:p>
    <w:p>
      <w:r>
        <w:rPr>
          <w:b/>
        </w:rPr>
        <w:t>E. 4</w:t>
      </w:r>
    </w:p>
    <w:p>
      <w:r>
        <w:t>L'appréciation des faits à laquelle l'autorité inférieure a procédé et les conséquences juridiques qu'elle en a tirées sont certes aisément intelligibles. Toutefois, s'agissant d'évaluer la réputation du recourant, il y a lieu d'étudier si elle a tenu compte de tous les éléments essentiels dans sa décision. Dans un précédent arrêt, le Tribunal administratif fédéral a constaté qu'il s'imposait de prendre en considération, à l'occasion de l'examen de la garantie d'une activité irréprochable, non seulement la gravité, le nombre et le moment des éventuels manquements mais également toutes les circonstances qui influent de manière positive sur la réputation du requérant ou qui laissent apparaître les actes négatifs sous un jour plus favorable (cf. arrêt du Tribunal administratif fédéral B 7348/2009 du 3 juin 2010 consid. 12.3).</w:t>
      </w:r>
    </w:p>
    <w:p>
      <w:r>
        <w:rPr>
          <w:b/>
        </w:rPr>
        <w:t>E. 4.1</w:t>
      </w:r>
    </w:p>
    <w:p>
      <w:r>
        <w:t>Conformément à l'art. 32 PA, l'autorité est tenue, avant de prendre la décision, d'apprécier tous les allégués importants qu'une partie a avancés en temps utile. Cette obligation d'examen constitue un aspect du droit d'être entendu garanti à l'art. 29 al. 2 de la Constitution fédérale de la Confédération suisse du 18 avril 1999 (Cst., RS 101) (cf. Patrick Sutter, in : Christoph Auer/Markus Müller/Benjamin Schindler, Kommentar zum Bundesgesetz über das Verwaltungsverfahren, Zurich 2008, n° 1 ad art. 32). Ce droit tendant à ce que les allégués de la partie soient retenus commande à l'autorité de réellement les entendre, de les examiner avec soin et sérieux ainsi que d'en tenir compte dans la prise de décision (cf. ATF 112 Ia 1 consid. 3c). L'étendue de l'examen dépend des circonstances du cas concret : plus elles sont claires et la marge d'appréciation de l'autorité inférieure restreinte, plus l'obligation d'examen voit son étendue diminuer (cf. Bernhard Waldmann/Jürg Bickel, in : Bernhard Waldmann/Philippe Weissenberger, op. cit., n° 18 ss ad art. 32).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Ulrich Häfelin/Walter Haller/Helen Keller, Schweizerisches Bundesstaatsrecht, 7e éd., Zurich 2008,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(cf. ATF 130 II 530 consid. 4.3, ATF 129 I 232 consid. 3.2, ATF 126 I 97 consid. 2b ; arrêt du Tribunal administratif fédéral B-2318/2006 du 23 juin 2008 consid. 5.2). Cela étant, la motivation doit porter sur tous les points nécessaires, se prononcer sur tous les arguments pertinents soulevés par les parties (cf. Pierre Moor/Etienne Poltier, Droit administratif, vol. II, Les actes administratifs et leur contrôle, 3e éd., Berne 2011, p. 350). L'importance de la motivation dépend de l'objet de la décision, des circonstances propres à la cause ainsi que des intérêts de la personne concernée. La motivation doit être rédigée avec un soin particulier lorsqu'il est question d'atteintes graves à des intérêts juridiquement protégés (cf. ATF 112 Ia 107 consid. 2b). Par ailleurs, elle sera d'autant plus détaillée que la marge d'appréciation de l'autorité est importante (cf. Sutter, in : Christoph Auer/Markus Müller/Benjamin Schindler, op. cit., n° 3 ad art. 32).</w:t>
      </w:r>
    </w:p>
    <w:p>
      <w:r>
        <w:rPr>
          <w:b/>
        </w:rPr>
        <w:t>E. 4.2</w:t>
      </w:r>
    </w:p>
    <w:p>
      <w:r>
        <w:t>En l'espèce, l'autorité inférieure a retenu que le recourant a effectué, au nom de l'entreprise Y._______ SA, des rapports de révision relatifs aux comptes arrêtés au 31 décembre 2008 de diverses sociétés alors qu'il ne disposait d'aucun agrément définitif ou provisoire. L'on ne saurait nier que les manquements reprochés au recourant se révèlent d'une certaine gravité. Nonobstant, il ne ressort pas de la teneur de la décision querellée que l'ASR aurait également pris en considération dans l'appréciation de la réputation du recourant les éléments positifs, qu'il s'agisse de l'attitude de ce dernier jusqu'à la confection des rapports de révision sans agrément ou de son comportement postérieur, en particulier les mesures prises pour en atténuer les effets sous la forme d'un mandat donné à A._______ de B._______ SA d'établir et signer de nouveaux rapports de révision. Au contraire, elle s'est bornée à soupeser la réputation du recourant à la lumière des manquements commis en 2009 ; ce faisant, elle a uniquement sanctionné le comportement incriminé alors qu'elle aurait dû, en le mettant en parallèle avec les autres éléments pertinents, en apprécier la gravité et évaluer les risques qu'il pouvait constituer pour l'avenir. Or, il n'apparaît pas que le recourant se serait, avant les actes reprochés, rendu coupable d'autres irrégularités. Aucun jugement pénal, civil ou en matière de poursuite ou faillite ne figure au dossier. Son comportement, tant professionnel que personnel, lors de la gestion de ses mandats ne semble pas laisser à désirer. Au contraire, l'établissement la même année de cinq rapports de révision sans agrément s'avère le seul élément négatif, auquel on peut toutefois également ajouter, comme conséquence à cet état de fait, la nomination de Z._______ en qualité d'expert-réviseur avec le statut de directeur et membre du conseil d'administration de Y._______ SA alors qu'il ne dispose pour l'heure d'aucun agrément selon le registre des réviseurs consultable sur internet. Il est vrai, comme l'a indiqué l'autorité inférieure, que le recourant pourra déposer une nouvelle demande ultérieurement. Cela étant, l'ASR demeure malgré tout tenue de poser, avant de prononcer la mesure, un pronostic en vue d'un éventuel agrément futur et de se déterminer, en fonction des manquements commis, sur leurs répercussions actuelles quant à l'activité du recourant ainsi que sur les effets qui perdureront, le cas échéant, encore à l'avenir sur la réputation de la personne en cause. Dans ces circonstances, il lui appartient - dans la mesure du possible - d'arrêter le moment à partir duquel une nouvelle requête d'agrément de la part du recourant aura des chances d'aboutir si, dans l'intervalle, il ne se rend fautif d'aucune irrégularité. Des éclaircissements sur ce point font parfaitement défaut dans la décision dont est recours ainsi que dans la réponse de l'autorité inférieure. Celle-ci a tout bonnement omis de procéder au pronostic concret auquel elle se trouvait tenue ; en effet, elle n'a à aucun moment exposé dans quelle mesure il fallait considérer que les actes reprochés se répercutaient sur un proche ou plus lointain avenir et si l'on devait vraisemblablement compter avec le fait que de tels manquements soient commis à nouveau dans le futur. Aussi, le recourant invoque à bon droit, dans ses écritures, qu'il ne dispose d'aucun élément ni d'aucune information lui permettant de savoir comment rétablir le caractère irréprochable de sa réputation et selon quels critères l'ASR examinera sa réputation à la suite d'une nouvelle requête.</w:t>
      </w:r>
    </w:p>
    <w:p>
      <w:r>
        <w:rPr>
          <w:b/>
        </w:rPr>
        <w:t>E. 4.3</w:t>
      </w:r>
    </w:p>
    <w:p>
      <w:r>
        <w:t>Dans ces circonstances, force est de constater que l'autorité inférieure n'a pas suffisamment respecté ses obligations d'examen et de motivation.</w:t>
      </w:r>
    </w:p>
    <w:p>
      <w:r>
        <w:rPr>
          <w:b/>
        </w:rPr>
        <w:t>E. 5</w:t>
      </w:r>
    </w:p>
    <w:p>
      <w:r>
        <w:t>Sur le vu de l'ensemble de ce qui précède, il appert que le respect du droit d'être entendu constitue une exigence de nature formelle dont la violation doit conduire à l'annulation de la décision querellée. Point n'est dès lors besoin d'examiner plus avant les autres griefs du recourant portant notamment sur la production de moyens de preuve.</w:t>
      </w:r>
    </w:p>
    <w:p>
      <w:r>
        <w:rPr>
          <w:b/>
        </w:rPr>
        <w:t>E. 6</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 du Tribunal administratif fédéral B-1181/2010 du 8 septembre 2010 consid. 4). Comme exposé précédemment, l'autorité inférieure a violé son obligation d'examiner les éléments pertinents ainsi que celle de motiver sa décision en ne prenant pas en considération tous les facteurs déterminants sous l'angle de la réputation. Elle n'a pas non plus établi le pronostic nécessaire, pas plus qu'elle ne s'est prononcée sur le moment à partir duquel le recourant pouvait compter avec l'issue favorable d'une nouvelle requête d'agrément. Dans ces conditions, l'affaire n'est pas en état d'être jugée. La décision entreprise doit donc être annulée et la cause renvoyée à l'autorité inférieure pour nouvel examen. Dans ce but, il lui appartiendra en particulier de tenir compte des composantes de sa réputation favorables au recourant et d'apprécier les répercussions des actes commis sur ladite réputation pour l'avenir. Alors seulement, elle se trouvera en mesure de juger si le respect du principe de proportionnalité commande un retrait de durée déterminée au terme de laquelle l'agrément sera restitué de manière automatique (cf. arrêt du Tribunal administratif fédéral B 7348/2009 du 3 juin 2010 consid. 13.3) ou indéterminée dont le terme présuppose seulement le dépôt d'une nouvelle requête qui se verra alors examinée par l'autorité inférieure ; dans ce second cas, elle indiquera le moment à partir duquel une nouvelle demande aura des chances d'aboutir.</w:t>
      </w:r>
    </w:p>
    <w:p>
      <w:r>
        <w:rPr>
          <w:b/>
        </w:rPr>
        <w:t>E. 7</w:t>
      </w:r>
    </w:p>
    <w:p>
      <w:r>
        <w:t>Le Tribunal de céans ne fait ainsi pas droit à la conclusion du recourant lequel demandait l'annulation de la décision et le renvoi de la cause à l'autorité inférieure pour nouvelle décision tendant à un retrait de son agrément d'expert-réviseur pour une durée déterminée entre six et douze mois à compter de la décision de retrait. Cela étant,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Fr. 2'000.- versée par le recourant le 14 juillet 2010 lui sera restituée dès l'entrée en force du présent arrêt.</w:t>
      </w:r>
    </w:p>
    <w:p>
      <w:r>
        <w:rPr>
          <w:b/>
        </w:rPr>
        <w:t>E. 7.2</w:t>
      </w:r>
    </w:p>
    <w:p>
      <w:r>
        <w:t>Le recourant conclut à l'octroi de dépens, précisant que la rédaction de sa détermination du 4 mars 2010 ainsi que du mémoire de recours l'aurait détourné de ses mandats ; il ajoute que si l'arrêt devait lui donner gain de cause, il ferait parvenir au Tribunal une liste des frais. 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Sont remboursés comme autres frais nécessaires des parties les frais accessoires de la partie conformément à l'art. 11 al. 1 à 4 en tant qu'ils dépassent Fr. 100.- ainsi que la perte de gain en tant qu'elle dépasse le gain d'une journée et que la partie qui obtient gain de cause se trouve dans une situation financière modeste (art. 13 FITAF). Les parties qui ont droit aux dépens doivent faire parvenir au Tribunal, avant le prononcé, un décompte détaillé de leurs prestations, à défaut duquel le Tribunal fixe l'indemnité sur la base du dossier (art. 14 al. 1 et 2 FITAF). Dans ce cas, le Tribunal n'est en effet pas tenu d'en solliciter la production (cf. Michael Beusch, in : Auer/Müller/Schindler, Kommentar zum Bundesgesetz über das Verwaltungsverfahren [VwVG], Zurich/St-Gall 2008, n° 17 ad art. 64 et la réf. cit.). Enfin, le simple temps nécessaire à un recourant pour la défense de ses intérêts n'est généralement pas indemnisé (cf. Beusch, op. cit., n° 16 ad art. 64). En l'espèce, le recourant n'a pas produit de décompte détaillé ; il invoque le temps passé à la rédaction de ses écritures. Il apparaît toutefois que la procédure ne lui a pas occasionné de frais relativement élevés et qu'il n'est pas représenté par un avocat ; de surcroît, le temps qu'il a occupé à la préparation de son recours ne s'avère pas suffisant, à lui-seul, à conduire à une indemnisation d'autant plus qu'il ne se prévaut de toute façon pas d'une situation économique modeste. Il n'y a dès lors pas lieu de lui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