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B-4416/2013 vom 1. Juli 2013</w:t>
      </w:r>
    </w:p>
    <w:p>
      <w:r>
        <w:t>Bundesverwaltungsgericht, 2013-07-01, DE</w:t>
      </w:r>
    </w:p>
    <w:p>
      <w:r>
        <w:rPr>
          <w:b/>
        </w:rPr>
        <w:t xml:space="preserve">Quelle: </w:t>
      </w:r>
      <w:r>
        <w:t>https://mcp.opencaselaw.ch/entscheid/bvger_B-4416_2013</w:t>
      </w:r>
    </w:p>
    <w:p>
      <w:r>
        <w:t>FR: TAF B-4416/2013 du 1 juillet 2013</w:t>
      </w:r>
    </w:p>
    <w:p>
      <w:r>
        <w:t>IT: TAF B-4416/2013 del 1 luglio 2013</w:t>
      </w:r>
    </w:p>
    <w:p>
      <w:pPr>
        <w:pStyle w:val="Heading2"/>
      </w:pPr>
      <w:r>
        <w:t>Regeste</w:t>
      </w:r>
    </w:p>
    <w:p>
      <w:r>
        <w:t>Kartelle</w:t>
      </w:r>
    </w:p>
    <w:p>
      <w:pPr>
        <w:pStyle w:val="Heading2"/>
      </w:pPr>
      <w:r>
        <w:t>Erwägungen</w:t>
      </w:r>
    </w:p>
    <w:p>
      <w:r>
        <w:rPr>
          <w:b/>
        </w:rPr>
        <w:t>E. 1</w:t>
      </w:r>
    </w:p>
    <w:p>
      <w:r>
        <w:t>Das Bundesverwaltungsgericht prüft vom Amtes wegen und mit freier Kognition, ob die Sachurteilsvoraussetzungen erfüllt sind und ob auf eine Beschwerde einzutreten ist (vgl. BVGE 2007/6, E. 1, m.w.H.).</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 angefochtene Zwischenverfügung vom 1. Juli 2013, welche die Beschwerdeführerin zur Lieferung von Informationen verpflichtet, ist eine Verfügung im Sinne von Art. 5 Abs. 2 VwVG (vgl. Urteile des Bundesverwaltungsgericht B-7084/2010 vom 6. Dezember 2010, E. 1.2; B-5436/2011 vom 5. März 2012, E. 1.3). Somit ist das Bundesverwaltungsgericht nach Art. 33 lit. f VGG (i.V.m. Art. 47 Abs. 1 lit. b VwVG) für die Behandlung der vorliegenden Streitsache zuständig, zumal keine Ausnahme nach Art. 32 VGG vorliegt. Funktional ist gemäss Art. 39 Abs. 1 VGG i.V.m. Art. 55 Abs. 3 VwVG grundsätzlich der Instruktionsrichter zuständig, über das Begehren um Erteilung der aufschiebenden Wirkung zu entscheiden.</w:t>
      </w:r>
    </w:p>
    <w:p>
      <w:r>
        <w:rPr>
          <w:b/>
        </w:rPr>
        <w:t>E. 1.2</w:t>
      </w:r>
    </w:p>
    <w:p>
      <w:r>
        <w:t>Die angefochtene selbständig eröffnete Zwischenverfügung betrifft ein Auskunftsbegehren nach Art. 40 KG gegenüber der Beschwerdeführerin im Rahmen einer Untersuchung gemäss Art. 27 ff. KG gegen sie. Gegen selbständig eröffnete Zwischenverfügungen kann nach den Voraussetzungen von Art. 45 und 46 VwVG vor Bundesverwaltungsgericht Beschwerde geführt werden. Die vorliegende Zwischenverfügung ist anfechtbar, wenn diese einen nicht wieder gutzumachenden Nachteil bewirken kann (Art. 46 Abs. 1 lit. a VwVG) oder wenn die Gutheissung der Beschwerde sofort einen Endentscheid herbeiführen und damit einen bedeutenden Mehraufwand an Zeit oder Kosten für ein weitläufiges Beweisverfahren ersparen würde (Art. 46 Abs. 1 lit. b VwVG).</w:t>
      </w:r>
    </w:p>
    <w:p>
      <w:r>
        <w:rPr>
          <w:b/>
        </w:rPr>
        <w:t>E. 1.2.1</w:t>
      </w:r>
    </w:p>
    <w:p>
      <w:r>
        <w:t>Eine Gutheissung der vorliegenden Beschwerde wäre nicht geeignet, sofort einen Endentscheid im Untersuchungsverfahren vor der Vorinstanz bzw. deren Sekretariat herbeizuführen, da es vorliegend einzig um die Auskunftspflicht gemäss Art. 40 KG und nicht etwa um die Anwendbarkeit des KG auf die Beschwerdeführerin oder um die rechtliche Qualifikation des untersuchten Verhaltens geht.</w:t>
      </w:r>
    </w:p>
    <w:p>
      <w:r>
        <w:rPr>
          <w:b/>
        </w:rPr>
        <w:t>E. 1.2.2</w:t>
      </w:r>
    </w:p>
    <w:p>
      <w:r>
        <w:t>Der geltend gemachte, nicht wieder gutzumachende Nachteil muss nicht rechtlicher Natur sein; eine Beeinträchtigung der schutzwürdigen tatsächlichen namentlich wirtschaftlichen Interessen genügt. Ein wirtschaftlicher Nachteil genügt indessen nicht, wenn es dem Betroffenen ausschliesslich darum geht, eine Verlängerung oder Verteuerung des Verfahrens zu verhindern (Urteil des Bundesgerichts 2A.438/2004 vom 1. Dezember 2004, E. 1.1; Urteile des Bundesverwaltungsgerichts A-3924/2012 vom 18. Februar 2013, E. 2.2; A-3043/2011 vom 15. März 2012, E. 1.2.3; B-7038/2009 vom 20. November 2009, E. 1.3; jeweils mit weiteren Hinweisen). Die beschwerdeführende Partei hat substantiiert darzulegen, inwiefern ihr im konkreten Fall ein nicht wieder gutzumachender Nachteil droht (BGE 137 III 324, E. 1.1; Urteile des Bundesverwaltungsgerichts B-1287/2012 vom 11. Juni 2013, E. 1.3; B-7084/2010 vom 6. Dezember 2010, E. 1.5.2).</w:t>
      </w:r>
    </w:p>
    <w:p>
      <w:r>
        <w:rPr>
          <w:b/>
        </w:rPr>
        <w:t>E. 1.2.3</w:t>
      </w:r>
    </w:p>
    <w:p>
      <w:r>
        <w:t>Vorliegend macht die Beschwerdeführerin im Wesentlichen geltend, sie würde gegen britisches Datenschutzrecht verstossen, falls sie die von der Vorinstanz verlangten Informationen herausgeben würde. Durch einen solchen Rechtsverstoss drohe ihr in Grossbritannien eine Sanktionierung. Da offenbar eine gewisse Unklarheit in Bezug auf die Vereinbarkeit der Informationslieferung gestützt auf die angefochtene Zwischenverfügung und dem DPA besteht, kann nicht ausgeschlossen werden, dass die Gefahr einer behördlichen Sanktionierung in Grossbritannien besteht. Diese - allenfalls auch theoretische - Gefahr kann einen Nachteil für die Beschwerdeführerin bedeuten. Auch die Vorinstanz schliesst ein solches Risiko offenbar nicht rundweg aus. Neben Reputationsrisiken sind insbesondere wirtschaftliche Nachteile zu berücksichtigen, die aus einer Verfahrenseröffnung bzw. einer Sanktionierung eines Verstosses gegen den DPA resultieren könnten. Würde sich die Beschwerdeführerin auch dann noch weigern, die angeforderten Informationen herauszugeben, wenn die Zwischenverfügung durchsetzbar wird, würden ihr ebenfalls Nachteile erwachsen, weil dann die schweizerischen Behörden die Weigerung allenfalls sanktionieren könnten. Schliesslich kann darauf hingewiesen werden, dass ein Unternehmen, dass sich auf das Aussageverweigerungsrecht nach Art. 16 und 17 VwVG berufen darf, durch ein Auskunftsbegehren in der Regel einen faktischen Nachteil in einer Untersuchung gemäss Art. 27 ff. KG erleiden könnte.</w:t>
      </w:r>
    </w:p>
    <w:p>
      <w:r>
        <w:rPr>
          <w:b/>
        </w:rPr>
        <w:t>E. 1.2.4</w:t>
      </w:r>
    </w:p>
    <w:p>
      <w:r>
        <w:t>Die Beschwerdeführerin hat somit dargetan, dass die Zwischenverfügung einen nicht wiedergutzumachenden Nachteil bewirken kann. Eingabefrist und -form sind gewahrt (Art. 50 und 52 Abs. 1 VwVG) und die Vertreter haben sich rechtsgenüglich ausgewiesen (Art. 11 VwVG). Auf die Beschwerde ist somit einzutreten. Im Rahmen der Prüfung der Eintrittsvoraussetzungen kann hingegen offenbleiben, wie hoch die Wahrscheinlichkeit eines Verstosses gegen britisches Recht ist bzw. ob sich der Nachteil besonders schwerwiegend auf die Beschwerdeführerin auswirkt.</w:t>
      </w:r>
    </w:p>
    <w:p>
      <w:r>
        <w:rPr>
          <w:b/>
        </w:rPr>
        <w:t>E. 2</w:t>
      </w:r>
    </w:p>
    <w:p>
      <w:r>
        <w:t>Die Beschwerde hat grundsätzlich aufschiebende Wirkung (Art. 55 Abs. 1 VwVG). Hat die angefochtene Verfügung keine Geldleistung zum Gegenstand, so kann die verfügende Behörde die aufschiebende Wirkung einer allfälligen Beschwerde entziehen (Art. 55 Abs. 2 VwVG). Die Beschwerdeinstanz kann ihrerseits die aufschiebende Wirkung wiederherstellen, wobei über ein entsprechendes Begehren ohne Verzug zu entscheiden ist (Art. 55 Abs. 3 VwVG). Die Voraussetzungen für den Entzug und die Wiedererteilung der aufschiebenden Wirkung wie auch für den Erlass einer vorsorglichen Massnahme sind grundsätzlich dieselben (Xaver Baumberger, Aufschiebende Wirkung bundesrechtlicher Rechtsmittel im öffentlichen Recht, Diss. Zürich 2006, Rz. 116 ff.; Regina Kiener, in: Christoph Auer et al. [Hrsg.], Kommentar VwVG, Zürich 2008, N 14 zu Art. 55). Weil vorliegend im summarischen Verfahren über die aufschiebende Wirkung entschieden wird, genügt die Glaubhaftmachung der Tatsachen (Alfred Kölz/Isabelle Häner/Martin Bertschi, Verwaltungsverfahren und Verwaltungsrechtspflege des Bundes, 3. Aufl., Zürich 2013, Rz. 1081).</w:t>
      </w:r>
    </w:p>
    <w:p>
      <w:r>
        <w:rPr>
          <w:b/>
        </w:rPr>
        <w:t>E. 2.1</w:t>
      </w:r>
    </w:p>
    <w:p>
      <w:r>
        <w:t>Die aufschiebende Wirkung soll gewährleisten, dass der bestehende tatsächliche oder rechtliche Zustand einstweilen unverändert erhalten bleibt. Der Entscheid über den Entzug der aufschiebenden Wirkung setzt Dringlichkeit voraus, d.h. es muss sich als notwendig erweisen, die fraglichen Vorkehren sofort zu treffen. Die Wiederherstellung der aufschiebenden Wirkung setzt einen Nachteil des Verfügungsadressaten voraus, der nicht leicht wieder gutzumachen ist, wofür ein tatsächliches, insbesondere wirtschaftliches Interesse genügt. Schliesslich ist im Rahmen einer Interessensabwägung zu prüfen, ob die Gründe für eine sofortige Vollstreckbarkeit wichtiger sind als jene, die für einen Aufschub sprechen. Dabei ist abzuwägen, wem der durch den Schwebezustand verursachte Nachteil am ehesten zugemutet werden kann. Hierfür sind die Schwere der drohenden Nachteile wie auch die Wahrscheinlichkeit ihres Eintretens zu würdigen (BGE 130 II 149, E. 2.2; Urteil des Bundesgerichts 9C.958/2012 vom 20. Dezember 2012, E. E. 2.2; Zwischenverfügung der REKO/WEF vom 21. Januar 2004, publiziert in: RPW 2004/1, S. 198 ff.; Philippe Weissenberger/Astrid Hirzel, Der Suspensiveffekt und andere vorsorgliche Massnahmen, in: Isabelle Häner/Bernhard Waldmann [Hrsg.], Brennpunkte im Verwaltungsprozess, Zürich 2013, S. 73 f.; Baumberger, a.a.O., Rz. 428 ff.; Hansjörg Seiler, in: Bernhard Waldmann/Philippe Weissenberger [Hrsg.], Praxiskommentar VwVG, N 94 zu Art. 55; Kiener, a.a.O., N 15 ff. zu Art. 55).</w:t>
      </w:r>
    </w:p>
    <w:p>
      <w:r>
        <w:rPr>
          <w:b/>
        </w:rPr>
        <w:t>E. 2.2</w:t>
      </w:r>
    </w:p>
    <w:p>
      <w:r>
        <w:t>Zunächst ist festzuhalten, dass die Zwischenverfügung der Vorinstanz der Beweissicherung im Rahmen einer Untersuchung gemäss Art. 27 ff. KG dient. Beweissicherungsmassnahmen sind grundsätzlich dringlich, weil sie erforderlich sind, um die Untersuchung voranzutreiben. Die Beweissicherung soll ferner die Beweise "sicherstellen", um somit zu verhindern, dass mögliche Beweise zu einem späteren Zeitpunkt nicht mehr erhältlich sind. Damit hatte die Vorinstanz einen überzeugenden Grund, um die aufschiebende Wirkung zu entziehen. Ausserdem wurden die angeforderten Informationen in den beiden Schreiben betreffend Auskunftsbegehren vom 14. Dezember 2012 und vom 15. März 2013 konkret beschrieben und es erscheint glaubhaft, dass diese Informationen für das Untersuchungsverfahren des Sekretariats erforderlich sind. Zudem wird von der Beschwerdeführerin offenbar auch nichts verlangt, was sie nicht auch tun könnte. So legte die Beschwerdeführerin bereits mit Schreiben vom 14. Januar 2013 ihr Konzept für die Bearbeitung des ersten Auskunftsbegehrens vom 14. Dezember 2012 dar (Beschwerdebeilage 5). Schliesslich ist kein milderes Mittel ersichtlich, um die angestrebte Beweissicherung zu gewährleisten. Die Beschwerdeführerin behauptet zwar, anstatt der Lieferung der physischen Dokumente könnten ihre Mitarbeiter einvernommen werden. Die Einvernahme ist jedoch nicht vergleichbar mit physischen Beweismittel über Korrespondenz, die Jahre zurückliegt, und kann daher nicht als milderes Mittel für denselben Zweck angesehen werden.</w:t>
      </w:r>
    </w:p>
    <w:p>
      <w:r>
        <w:rPr>
          <w:b/>
        </w:rPr>
        <w:t>E. 2.3</w:t>
      </w:r>
    </w:p>
    <w:p>
      <w:r>
        <w:t>Wie bereits erörtert wurde, legt die Beschwerdeführerin einen drohenden Nachteil dar (vgl. E. 1.2.3 und 1.2.4). Für die Interessensabwägung ist erforderlich, die Schwere des Nachteils und die Wahrscheinlichkeit abzuschätzen, mit welcher der drohende Nachteil effektiv eintritt.</w:t>
      </w:r>
    </w:p>
    <w:p>
      <w:r>
        <w:rPr>
          <w:b/>
        </w:rPr>
        <w:t>E. 2.3.1</w:t>
      </w:r>
    </w:p>
    <w:p>
      <w:r>
        <w:t>Das britische Datenschutzrecht, auf welches sich die Beschwerdeführerin für die Glaubhaftmachung eines drohenden Nachteils stützt, kann im Rahmen des vorliegenden summarischen Verfahrens nicht vollständig ermittelt werden. Immerhin reichte die Beschwerdeführerin den DPA (Beschwerdebeilage 6) und diesbezügliche Leitlinien (Beschwerdebeilage 9) ein und übersetzte die ihr relevant erscheinenden Passagen in ihrer Beschwerdeschrift. Ausserdem legte die Beschwerdeführerin zwei E-Mails des britischen Datenschutzbeauftragen ihrer Beschwerde bei, der auf spezifische Fragen der britischen Rechtsvertreter der Beschwerdeführerin antwortete (Beschwerdebeilagen 7 und 16). Hinsichtlich der E-Mails des Datenschutzbeauftragen ist festzustellen, dass diese ohne Kenntnis der konkreten Sachlage und auf abstrakte Fragen hin verfasst wurden. Zum Beispiel wurde die Vorinstanz als "regulatory authority" betitelt und die Schweiz als "overseas jurisdiction" bezeichnet (Beschwerdebeilage 16, S. 2). Verschwiegen wurde, dass die Vorinstanz eine verwaltungsunabhängige Behörde ist, die an das Amtsgeheimnis gebunden ist und keine Akteneinsicht in Geschäftsgeheimnisse gewährt (Zwischenverfügung, Rz 22).</w:t>
      </w:r>
    </w:p>
    <w:p>
      <w:r>
        <w:rPr>
          <w:b/>
        </w:rPr>
        <w:t>E. 2.3.2</w:t>
      </w:r>
    </w:p>
    <w:p>
      <w:r>
        <w:t>Nach der Beschwerdeführerin fallen zwei Rechtfertigungsgründe für die Lieferung der datenschutzrechtlich geschützten Informationen in Betracht. Zum einen ist demnach Art. 35 Abs. 1 DPA von Interesse: "Personal data are exempt from the non-disclosure provisions where the disclosure is required by or under any enactment, by any rule of law or by the order of a court". Die Beschwerdeführerin übersetzt diese Bestimmung wie folgt: "Die Bearbeitung ist notwendig, um eine nicht-vertragliche rechtliche Verpflichtung des Inhabers der Datensammlung einzuhalten" (Beschwerde, S. 15). Nach Auffassung der Beschwerdeführerin fallen unter diese Bestimmung ausschliesslich britische behördliche Beschlüsse, die Regeln des Common Law und die gerichtlichen Anordnungen einer von Grossbritannien anerkannten Rechtsordnung, worunter Zwischenverfügungen der Vorinstanz nicht fallen würden (Beschwerde, S. 16). Ob das DPA überhaupt anwendbar ist und die Rechtsauffassung der Beschwerdeführerin korrekt ist, kann offen gelassen werden. Selbst wenn auf die Rechtsauffassung der Beschwerdeführerin abgestellt würde, wäre davon auszugehen, dass aus britischer Sicht die vorliegende Zwischenverfügung des Bundesverwaltungsgerichts eine gerichtliche Anordnung gemäss Art. 35 Abs. 1 DPA darstellte. Zumal die Verpflichtung zur Lieferung der Informationen auch im Dispositiv des vorliegend zu treffenden Zwischenentscheides ausdrücklich genannt wird. Ausserdem sind keine Gründe ersichtlich, warum die schweizerische Rechtsordnung von Grossbritannien nicht anerkannt würde. Daher wäre ein Rechtfertigungsgrund für die angeforderte Lieferung der Informationen spätestens mit vorliegender Zwischenverfügung gegeben.</w:t>
      </w:r>
    </w:p>
    <w:p>
      <w:r>
        <w:rPr>
          <w:b/>
        </w:rPr>
        <w:t>E. 2.3.3</w:t>
      </w:r>
    </w:p>
    <w:p>
      <w:r>
        <w:t>Ferner ist nach Auffassung der Beschwerdeführerin ein weiterer möglichen Rechtfertigungsgrund relevant. Anhang 2 Abs. 6 Ziff. 1 des DPA sieht vor: "The processing is necessary for the purposes of legitimate interests pursued by the data controller or by the third party or parties to whom the data are disclosed, except where the processing is unwarran-ted in any particular case by reason of prejudice to the rights and freedoms or legitimate interests of the data subject". Die Beschwerdeführerin übersetzt diese Bestimmung wie folgt: "Die Bearbeitung ist erforderlich zur Wahrung berechtigter Interessen des Inhabers der Datensammlung oder Dritter, denen die Daten bekanntgegeben werden, sofern die Bearbeitung nicht die Rechte und die Freiheit oder die berechtigten Interessen des Datensubjekts gefährdet" (Beschwerde, S. 17). Die Beschwerdeführerin bringt vor, bei allen in den Auskunftsbegehren der Vorinstanz genannten Mitarbeiter sei eine Gefährdung der berechtigten Interessen gegeben, da diese Personen im Rahmen von Untersuchungen in anderen Jurisdiktionen potentiell strafrechtlicher Verfolgung und an ihrem Wohnsitzstaat zum Beispiel der Auslieferung in Drittstaaten ausgesetzt sein könnten (Beschwerde, S. 17). Wiederum kann offen bleiben, ob dieser Rechtfertigungsgrund nach britischem Datenschutzrecht überhaupt erforderlich wäre. Selbst wenn auf diesen Rechtfertigungsgrund abgestellt würde, wäre jedoch nicht ersichtlich, warum die Mitarbeiter der Beschwerdeführerin oder Dritte durch die angeforderte Lieferung der Informationen in anderen Jurisdiktionen potentiell strafrechtlicher Verfolgung ausgesetzt werden sollten. Erstens unterliegt die Vorinstanz dem Amtsgeheimnis. Zweitens steht es der Beschwerdeführerin frei, Geschäftsgeheimnisse zu bezeichnen. Drittens könnte die Beschwerdeführerin vor einer allfälligen Publikation von identifizierenden Informationen im Endentscheid der Vorinstanz eine weitere anfechtbare Zwischenverfügung verlangen. Auch nach Art. 8 Abs. 4 des am 17. Mai 2013 unterzeichneten (jedoch noch nicht ratifizierten und somit auch nicht in Kraft getretenen) Abkommens zwischen der Europäischen Union und der Schweizerischen Eidgenossenschaft über die Zusammenarbeit bei der Anwendung ihres Wettbewerbsrechts dürfen die nach dem Abkommen erörterten oder übermittelten Informationen nicht für die Verhängung von Sanktionen gegen natürliche Personen verwendet werden. Die Beschwerdeführerin erklärt dementsprechend nicht, wie genau sich das Risiko einer strafrechtlichen Verfolgung ihrer Mitarbeiter oder Dritter mit der Lieferung der angeforderten Informationen erhöhen würde.</w:t>
      </w:r>
    </w:p>
    <w:p>
      <w:r>
        <w:rPr>
          <w:b/>
        </w:rPr>
        <w:t>E. 2.3.4</w:t>
      </w:r>
    </w:p>
    <w:p>
      <w:r>
        <w:t>Zusammenfassend ergibt sich, dass die von der Beschwerdeführerin diskutierten Rechtfertigungsgründe im Rahmen des summarischen Verfahrens mit einiger Wahrscheinlichkeit gegeben sein dürften. Auch wenn ein Risiko eines Verstosses gegen den DPA nicht ausgeschlossen werden kann und die sich stellenden Rechtsfragen diesbezüglich nicht umfassend geklärt werden können, ist vorliegend davon auszugehen, dass die Wahrscheinlichkeit eines Verstosses eher gering sein dürften. Bei diesem Ergebnis braucht der von der Vorinstanz vorgebrachte Art. 35 Abs. 2 DPA nicht näher geprüft zu werden. Da die Schwere des Nachteils in einem drohenden Strafverfahren und allenfalls zivilrechtlichen Ansprüchen Dritter besteht, ist der Nachteil als nicht unerheblich zu qualifizieren. Die Schwere des Nachteils lässt auch eine nur geringe Wahrscheinlichkeit eines Verstosses gegen den DPA nicht als vernachlässigbar erscheinen. Somit ist glaubhaft, dass sie bei sofortiger Vollstreckbarkeit der Zwischenverfügung einen nicht unerheblichen Nachteil erleiden würde.</w:t>
      </w:r>
    </w:p>
    <w:p>
      <w:r>
        <w:rPr>
          <w:b/>
        </w:rPr>
        <w:t>E. 2.4</w:t>
      </w:r>
    </w:p>
    <w:p>
      <w:r>
        <w:t>Die dargelegten Interessen der Beschwerdeführerin und der Vorinstanz sind gegen einander abzuwägen. Der Nachteil der Vorinstanz hinsichtlich der Gewährung der aufschiebenden Wirkung würde darin bestehen, dass sie mit der Beweissicherung bzw. -analyse länger zuwarten müsste. Zwar wurde das Risiko, dass die zu sicherenden Beweismittel zu einem späteren Zeitpunkt nicht mehr erhältlich sein könnten, nicht geltend gemacht. Doch ist dieses Risiko nie ganz auszuschliessen. Ausserdem ist darauf hinzuweisen, dass die Durchsetzung der angefochtenen Zwischenverfügung gewisse praktische Probleme aufwerfen könnte, was die Untersuchung der Wettbewerbsbehörden weiter verzögern könnte. Auch dies spricht eher dafür, dass die Zwischenverfügung schnellstmöglich zumindest rechtlich vollstreckbar sein sollte. Dasselbe gilt für die relativ lange Dauer zwischen der ersten Aufforderung betreffend die Lieferung von Informationen am 14. Dezember 2012 und der Zwischenverfügung vom 1. Juli 2013. Die zu Anfang zu Recht als kooperativ erscheinende Verfahrensführung des Sekretariats verzögerte die Lieferung der Informationen zwar im Ergebnis. Umso mehr gilt es nun die Untersuchung rasch voranzubringen. Der Nachteil der Beschwerdeführerin ist zwar aufgrund eines möglichen Verstosses gegen den DPA nicht unerheblich. Er ist aber weniger stark zu gewichten als das öffentliche Interesse an einer raschen Untersuchung. Die Wahrscheinlichkeit, dass sich der drohende Verstoss gegen das DPA tatsächlich verwirklicht, ist als eher gering zu bewerten. Die Wahrscheinlichkeit erscheint auch unter Berücksichtigung der Schwere der Sanktionierung eines allfälligen Verstossen als so gering, dass sie keinen genügenden Grund darzustellen vermag, um die Untersuchung des Sekretariats weiter zu verzögern. Somit erscheint das Interesse der Vorinstanz an einer sofortigen Vollstreckbarkeit wichtiger als dasjenige der Beschwerdeführerin an einem entsprechenden Aufschub.</w:t>
      </w:r>
    </w:p>
    <w:p>
      <w:r>
        <w:rPr>
          <w:b/>
        </w:rPr>
        <w:t>E. 3</w:t>
      </w:r>
    </w:p>
    <w:p>
      <w:r>
        <w:t>Der Eventualantrag der Vorinstanz hinsichtlich partieller Anonymisierung muss nicht geprüft werden, da sie mit ihrem Hauptantrag durchdringt. Die Beschwerdeführerin stellte weder im Rahmen ihrer Beschwerde noch in der Stellungnahme vom 26. August 2013 einen Eventualantrag mit entsprechendem Inhalt. Für sie wird das Risiko eines Rechtsverstosses gegen britisches Datenschutzrecht offenbar nicht vermindert, indem die angeforderten Unterlagen nur teilweise anonymisiert würden. Vor diesem Hintergrund erübrigt sich die Prüfung einer Änderung des Dispositivs hinsichtlich einer Anordnung zur teilweisen Anonymisierung.</w:t>
      </w:r>
    </w:p>
    <w:p>
      <w:r>
        <w:rPr>
          <w:b/>
        </w:rPr>
        <w:t>E. 4</w:t>
      </w:r>
    </w:p>
    <w:p>
      <w:r>
        <w:t>Die vorliegende Zwischenverfügung hebt Ziff. 1 der Zwischenverfügung vom 7. August 2013 (superprovisorische Wiederherstellung der aufschiebenden Wirkung) auf bzw. entzieht dieser Ziff. 1 ihre Wirksamkeit, weil die aufschiebende Wirkung nur bis zum definitiven Entscheid über die Wiederherstellung der aufschiebenden Wirkung gewährt wurde. Ohne gegenteilige Anordnung des Bundesverwaltungsgerichts würde somit Ziff. 1 der angefochten Zwischenverfügung mit Eröffnung der vorliegenden Zwischenverfügung vollstreckbar. Da die in Ziff. 1 der angefochten Zwischenverfügung festgelegt Frist (16. August 2013) bereits abgelaufen ist, wäre es nicht sachgerecht, es der Vorinstanz zu überlassen, eine neue Frist anzusetzen. Infolge der sofortigen Vollstreckbarkeit von Ziff. 1 der angefochten Zwischenverfügung und dem entsprechenden Antrag der Vorinstanz folgend ist diese somit hinsichtlich einer neuen Frist anzupassen. Als neue Frist für die Lieferung der angeforderten Informationen erscheinen 20 Tage als angemessen. Zwar machte die Beschwerdeführerin in ihrem Schreiben vom 14. Januar 2013 geltend, es sei schwierig, verlässlich vorherzusagen, wie viel Zeit die erforderliche Datenaufbereitung in Anspruch nehmen werde (Beschwerdebeilage 5, S. 7). Doch hatte die Beschwerdeführerin seit dem 14. Dezember 2012 bzw. dem 15. März 2013 genügend Zeit, die nötigen Massnahmen zu treffen. Zudem musste sie spätestens mit Eröffnung der angefochtenen Zwischenverfügung damit rechnen, dass sie zur Lieferung der angeforderten Informationen gezwungen wird. Daher erscheint die Frist von 20 Tagen als zumutbar.</w:t>
      </w:r>
    </w:p>
    <w:p>
      <w:r>
        <w:rPr>
          <w:b/>
        </w:rPr>
        <w:t>E. 5</w:t>
      </w:r>
    </w:p>
    <w:p>
      <w:r>
        <w:t>Über die Kosten dieser Zwischenverfügung wird im Entscheid über die materiellen Anträge der Beschwerdeführerin entschieden. Eine Parteientschädigung fällt mit Blick auf das Ergebnis der vorliegenden Zwischenverfügung ausser Betracht (Art. 64 Abs. 1 VwVG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