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B-4363/2013 vom 2. September 2013</w:t>
      </w:r>
    </w:p>
    <w:p>
      <w:r>
        <w:t>Bundesverwaltungsgericht, 2013-09-02, FR</w:t>
      </w:r>
    </w:p>
    <w:p>
      <w:r>
        <w:rPr>
          <w:b/>
        </w:rPr>
        <w:t xml:space="preserve">Quelle: </w:t>
      </w:r>
      <w:r>
        <w:t>https://mcp.opencaselaw.ch/entscheid/bvger_B-4363_2013</w:t>
      </w:r>
    </w:p>
    <w:p>
      <w:r>
        <w:t>FR: TAF B-4363/2013 du 2 septembre 2013</w:t>
      </w:r>
    </w:p>
    <w:p>
      <w:r>
        <w:t>IT: TAF B-4363/2013 del 2 settembre 2013</w:t>
      </w:r>
    </w:p>
    <w:p>
      <w:pPr>
        <w:pStyle w:val="Heading2"/>
      </w:pPr>
      <w:r>
        <w:t>Regeste</w:t>
      </w:r>
    </w:p>
    <w:p>
      <w:r>
        <w:t>Cartels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Sous réserve des exceptions prévues à l'art. 32 de la loi du 17 juin 2005 sur le Tribunal administratif fédéral (LTAF, RS 173.32), le Tribunal administratif fédéral connaît, en vertu de l'art. 31 LTAF, des recours contre les décisions au sens de l'art. 5 PA prises par les autorités mentionnées à l'art. 33 LTAF. En l'espèce, la décision attaquée constitue une décision au sens de l'art. 5 al. 2 PA. Elle a été rendue par le Secrétariat de la Commission de la concurrence avec un membre de la présidence. D'un point de vue externe, le Secrétariat forme un tout avec la Commission de la concurrence (Vincent Martenet, in : Vincent Martenet/Christian Bovet/Pierre Tercier [éd.], Droit de la concurrence, Commentaire romand, 2e éd., Bâle 2013, ad art. 23 LCart N 21). Il convient dès lors de considérer que la décision attaquée a été rendue par la Commission de la concurrence, qui est une autorité au sens de l'art. 33 let. f LTAF (cf. arrêt du Tribunal administratif fédéral B-7084/2010 du 6 décembre 2010 consid. 1.2). Aucune des exceptions mentionnées à l'art. 32 LTAF n'étant par ailleurs réalisées, le Tribunal administratif fédéral est compétent pour statuer sur le présent recours.</w:t>
      </w:r>
    </w:p>
    <w:p>
      <w:r>
        <w:rPr>
          <w:b/>
        </w:rPr>
        <w:t>E. 1.3</w:t>
      </w:r>
    </w:p>
    <w:p>
      <w:r>
        <w:t>Les dispositions relatives au délai de recours, à la forme et au contenu du mémoire de recours, ainsi qu'au paiement de l'avance de frais (art. 50, 52 al. 1 et 63 al. 4 PA) sont respectées.</w:t>
      </w:r>
    </w:p>
    <w:p>
      <w:r>
        <w:rPr>
          <w:b/>
        </w:rPr>
        <w:t>E. 1.4</w:t>
      </w:r>
    </w:p>
    <w:p>
      <w:r>
        <w:t>La décision attaquée, rendue en application de l'art. 40 LCart, est une décision incidente (Benoît Merkt, in : Vincent Martenet/Christian Bovet/Pierre Tercier [éd.], Droit de la concurrence, Commentaire romand, 2e éd., Bâle 2013, ad art. 40 LCart N 17). Un recours contre une décision incidente, notifiée séparément, ne portant ni sur la compétence ni sur une demande de récusation (cf. art. 45 PA), est recevable aux conditions fixées par l'art. 46 al. 1 PA, applicable à la procédure de recours devant le Tribunal administratif fédéral en vertu de l'art. 37 LTAF et de l'art. 39 LCart. Il convient ainsi d'examiner si la décision attaquée peut faire l'objet d'un recours immédiat sur la base de l'art. 46 al. 1 PA, soit parce qu'elle peut causer un préjudice irréparable (let. a), soit parce que l'admission du recours peut conduire immédiatement à une décision finale permettant d'éviter une procédure probatoire longue et coûteuse (let. b).</w:t>
      </w:r>
    </w:p>
    <w:p>
      <w:r>
        <w:rPr>
          <w:b/>
        </w:rPr>
        <w:t>E. 1.4.1.1</w:t>
      </w:r>
    </w:p>
    <w:p>
      <w:r>
        <w:t>L'art. 46 al. 1 let. a PA ne définit pas la notion de préjudice irréparable. Selon la jurisprudence, le préjudice doit avoir sa cause dans la décision incidente attaquée elle-même et son caractère irréparable tient généralement au désavantage que subirait le recourant s'il devait attendre la décision finale pour entreprendre la décision incidente (arrêt du Tribunal administratif fédéral B-4935/2009 du 31 août 2009 consid. 1.4). A la différence de ce qui prévaut en principe sous l'angle de la loi du 17 juin 2005 sur le Tribunal fédéral (LTF, RS 173.110) (Bernard Corboz/Alain Wurzburger/Pierre Ferrari/Jean-Maurice Fresard/ Florence Aubry Girardin, Commentaire de la LTF, Berne 2009, ad art. 93 N 16), l'art. 46 PA n'exige pas un dommage de nature juridique. Il suffit d'un préjudice de fait, même purement économique, pour autant que celui-ci ne se résume pas à prévenir une augmentation des coûts de la procédure. Point n'est besoin d'ailleurs que le dommage allégué soit à proprement parler ''irréparable'' ;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arrêts du Tribunal administratif fédéral A 5107/2009 du 13 avril 2010 consid. 3 et B-2390/2008 du 6 novembre 2008 consid. 2.1.2). Le recourant supporte ainsi le fardeau de la preuve du préjudice irréparable (arrêt du Tribunal administratif fédéral B-5436/2011 du 5 mars 2012 consid. 3.4).</w:t>
      </w:r>
    </w:p>
    <w:p>
      <w:r>
        <w:rPr>
          <w:b/>
        </w:rPr>
        <w:t>E. 1.4.1.2</w:t>
      </w:r>
    </w:p>
    <w:p>
      <w:r>
        <w:t>La recourante soutient que la décision attaquée est susceptible de lui causer un préjudice considérable en raison des conséquences financières liées à son implication dans des procédures administratives ou judiciaires concernant des comportements auxquels elle est étrangère. Elle ajoute qu'elle risque, ainsi que ses organes, d'être sanctionnée si les informations requises par l'autorité inférieure ne pouvaient pas lui être transmises. Elle soutient enfin que, si l'effet suspensif n'était pas restitué à son recours, elle pourrait, ainsi que ses organes, être sanctionnée, ce qui inciterait certainement l'Autorité fédérale de surveillance des marchés financiers (FINMA) à conduire des investigations quant au respect de l'exigence d'une activité irréprochable au sens de l'art. 3 al. 2 let. c et cbis de la loi fédérale du 8 novembre 1934 sur les banques et les caisses d'épargne (LB, RS 952.0).</w:t>
      </w:r>
    </w:p>
    <w:p>
      <w:r>
        <w:rPr>
          <w:b/>
        </w:rPr>
        <w:t>E. 1.4.1.3</w:t>
      </w:r>
    </w:p>
    <w:p>
      <w:r>
        <w:t>1.4.1.3.1 En lien avec la décision attaquée, il se pose tout d'abord la question de savoir qui est visé par la demande de renseignements au sens de l'art. 40 LCart. 1.4.1.3.1.1 Les décisions de l'autorité inférieure règlent les rapports juridiques avec les entreprises au sens de l'art. 2 LCart. Au sens matériel, les destinataires d'une décision sont les personnes physiques ou morales dont les droits ou les obligations sont réglés par la décision. Au sens formel, les destinataires d'une décision sont les personnes auxquelles la décision est notifiée, sans que leurs droits ou leurs obligations ne soient directement touchés par la décision (cf. Vera Marantelli/Said Huber, in : Bernhard Waldmann/Philippe Weissenberger [éd.], VwVG, Praxiskommentar zum Bundesgesetz über das Verwaltungsverfahren, Zurich/Bâle/Genève 2009, ad art. 6 N 7 et les références citées). Les destinataires au sens formel ne sont pas parties au rapport juridique concerné. Leurs intérêts sont certes directement touchés, mais pas leurs droits ou obligations (arrêt du Tribunal administratif fédéral B-2977/2007 du 27 avril 2010 consid. 4.5 ; cf. décision incidente du Tribunal administratif fédéral B-1100/2007 du 6 décembre 2007 consid. 3.3.1 ; Fritz Gygi, Bundesverwaltungsrechtspflege, 2e éd., Berne 1983, p. 148). 1.4.1.3.1.2 En l'espèce, le courrier de l'autorité inférieure du [...] est adressé à A._______. Il est intitulé "[...] LIBOR/TIBOR - Demande d'information à [C._______]". Il précise que "[a]ctuellement, l'enquête de la Commission de la concurrence suisse ne concerne pas [C._______]". La demande de l'autorité inférieure est formulée de la manière suivante : "Pour éclaircir cet état de fait, nous vous prions de nous fournir les mêmes informations concernant EURIBOR pour les années [...] à [...] que celles que vous avez fournies à la Commission [étrangère]". Le premier courrier de l'autorité inférieure du [...] est adressé à "[A._______]". Intitulé "[...] Ouverture d'une enquête au sens de l'art. 27 LCart contre [C._______] [...]", il commence par donner des informations au sujet de cette enquête. La demande de l'autorité inférieure est ainsi formulée : "[...] nous avons besoin de vos informations et nous vous invitons à répondre aux questions contenues dans le questionnaire en annexe [...]". Ce questionnaire porte le titre suivant : "[...] LIBOR / TIBORQuestionnaire for [C._______]of the [...]" Le second courrier de l'autorité inférieure du [...] est adressé à "[A._______]". Il est intitulé "[...] LIBOR/TIBOR - Annonce de la poursuite de l'enquête à l'EURIBOR / Autres questions concernant l'établissement des faits". Les demandes de l'autorité inférieure sont formulées ainsi : "1. Veuillez nous communiquer [...] le chiffre d'affaires réalisé annuellement par votre mandante sur [...]. De plus, veuillez nous indiquer le chiffre d'affaires annuel par trader ou si ce n'est pas possible par équipe de traders.</w:t>
      </w:r>
    </w:p>
    <w:p>
      <w:r>
        <w:rPr>
          <w:b/>
        </w:rPr>
        <w:t>E. 1.4.2</w:t>
      </w:r>
    </w:p>
    <w:p>
      <w:r>
        <w:t>Reste donc à examiner si la décision attaquée peut faire l'objet d'un recours immédiat sur la base de l'art. 46 al. 1 let. b PA.</w:t>
      </w:r>
    </w:p>
    <w:p>
      <w:r>
        <w:rPr>
          <w:b/>
        </w:rPr>
        <w:t>E. 1.4.2.1</w:t>
      </w:r>
    </w:p>
    <w:p>
      <w:r>
        <w:t>Selon cette disposition, les décisions incidentes notifiées séparément peuvent faire l'objet d'un recours si l'admission du recours peut conduire immédiatement à une décision finale qui permet d'éviter une procédure probatoire longue et coûteuse. La recevabilité du recours est ainsi soumise à deux conditions cumulatives : le fait que l'admission du recours puisse conduire immédiatement à une décision finale, d'une part, et le fait que cette décision finale permette d'éviter une procédure probatoire longue et coûteuse, d'autre part (Alfred Kölz/Isabelle Häner/Martin Bertschi, Verwaltungsverfahren und Verwaltungs­rechts­pflege des Bundes, 3e éd., Zurich/Bâle/Genève 2013, N 915).</w:t>
      </w:r>
    </w:p>
    <w:p>
      <w:r>
        <w:rPr>
          <w:b/>
        </w:rPr>
        <w:t>E. 1.4.2.2</w:t>
      </w:r>
    </w:p>
    <w:p>
      <w:r>
        <w:t>En lien avec l'art. 46 al. 1 let. b PA, la recourante considère pour l'essentiel que, en cas d'admission de son recours, elle serait mise hors de cause à un stade précoce de la procédure (recours, p. 8).</w:t>
      </w:r>
    </w:p>
    <w:p>
      <w:r>
        <w:rPr>
          <w:b/>
        </w:rPr>
        <w:t>E. 1.4.2.3</w:t>
      </w:r>
    </w:p>
    <w:p>
      <w:r>
        <w:t>En l'espèce, l'autorité inférieure a ouvert une enquête au sens de l'art. 27 LCart contre plusieurs banques et intermédiaires financiers le [...] et l'a élargie à C._______ le [...]. C'est dans le cadre de cette enquête que, dans le but d'obtenir des renseignements, l'autorité inférieure a rendu la décision incidente attaquée. L'admission du présent recours empêcherait certes l'autorité inférieure d'exiger les renseignements demandés. Force est toutefois de constater qu'elle ne mettrait pas un terme à l'enquête ouverte par l'autorité inférieure et ne conduirait donc pas immédiatement à une décision finale. Pour cette raison déjà, la décision attaquée ne saurait faire l'objet d'un recours sur la base de l'art. 46 al. 1 let. b PA.</w:t>
      </w:r>
    </w:p>
    <w:p>
      <w:r>
        <w:rPr>
          <w:b/>
        </w:rPr>
        <w:t>E. 1.4.3</w:t>
      </w:r>
    </w:p>
    <w:p>
      <w:r>
        <w:t>En conclusion, vu que la décision attaquée ne peut causer un préjudice irréparable et que l'admission du présent recours ne peut conduire immédiatement à une décision finale, la décision attaquée ne saurait faire l'objet d'un recours immédiat (art. 46 al. 1 PA).</w:t>
      </w:r>
    </w:p>
    <w:p>
      <w:r>
        <w:rPr>
          <w:b/>
        </w:rPr>
        <w:t>E. 1.5</w:t>
      </w:r>
    </w:p>
    <w:p>
      <w:r>
        <w:t>Vu ce qui précède, le recours doit être déclaré irrecevable. Par conséquent, la demande de restitution de l'effet suspensif contenue dans le recours est également irrecevable. Par ailleurs, le présent arrêt met un terme à la mesure superprovisionnelle prononcée le 8 août 2013 par le Tribunal administratif fédéral selon laquelle l'effet suspensif était restitué au recours. Vu que le délai fixé dans la décision attaquée pour donner suite à la demande de renseignements de l'autorité inférieure est arrivé à échéance le 16 août 2013, le Tribunal administratif fédéral laisse à l'autorité inférieure le soin de fixer à la recourante un nouveau délai qui tiendra équitablement compte de la durée de la présente procédure. 2.</w:t>
      </w:r>
    </w:p>
    <w:p>
      <w:r>
        <w:rPr>
          <w:b/>
        </w:rPr>
        <w:t>E. 2</w:t>
      </w:r>
    </w:p>
    <w:p>
      <w:r>
        <w:t>Veuillez nous communiquer [...] le chiffre d'affaires réalisé annuellement sur le commerce des produits dérivés basés sur les taux de référence JPY LIBOR, EUROYEN TIBOR, JPY TIBOR, CHF LIBOR et EURIBOR, traités de manière directe ou indirecte (par l'intermédiaire d'une société de courtage), pour chaque contrepartie bancaire dont le siège est en Suisse.</w:t>
      </w:r>
    </w:p>
    <w:p>
      <w:r>
        <w:rPr>
          <w:b/>
        </w:rPr>
        <w:t>E. 2.1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1re phrase et 4 FITAF). En l'espèce, les frais de procédure doivent être fixés à Fr. 1'500.- et mis à la charge de la recourante, qui succombe. Ils seront compensés par l'avance de frais de Fr. 2'500.- versée par la recourante le 26 août 2013. Le solde de Fr. 1'000.- sera restitué à la recourante dès l'entrée en force du présent arrêt.</w:t>
      </w:r>
    </w:p>
    <w:p>
      <w:r>
        <w:rPr>
          <w:b/>
        </w:rPr>
        <w:t>E. 2.2</w:t>
      </w:r>
    </w:p>
    <w:p>
      <w:r>
        <w:t>Compte tenu de l'issue de la procédure, la recourante n'a pas droit à des dépens (art. 64 al. 1 PA et art. 7 al. 1 FITAF a contrario). Quant à la Commission de la concurrence, respectivement son Secrétariat, ils n'ont pas droit à des dépens (art. 7 al. 3 FITAF ; cf. arrêt du Tribunal administratif fédéral B-2390/2008 et B-4129/2008 du 6 novembre 2008 consid. 5).</w:t>
      </w:r>
    </w:p>
    <w:p>
      <w:r>
        <w:rPr>
          <w:b/>
        </w:rPr>
        <w:t>E. 3</w:t>
      </w:r>
    </w:p>
    <w:p>
      <w:r>
        <w:t>Veuillez nous indiquer le produit brut que votre banque a réalisé en Suisse [...]." Bien que ces trois courriers soient adressés à la recourante, il ressort clairement, notamment de l'intitulé du courrier du [...] ("[...] LIBOR/TIBOR - Demande d'information à [C._______]") et du titre du questionnaire joint au premier courrier du [...] ("Questionnaire for [C._______]"), que c'est bien C._______ qui est visée par la demande de renseignement et non pas la recourante. La décision attaquée a été notifiée à A._______. Elle indique notamment que, "[d]ans la mesure où [A._______] est une filiale [de C._______], il ne dispose pas de la position de partie indépendante, en raison de son appartenance au groupe. Toutefois, comme destinataire formel, le Secrétariat peut valablement lui notifier une décision ou lui envoyer des demandes de renseignements, en lui laissant le soin de les transmettre à sa société mère. En d'autres termes, [A._______] représente le groupe en Suisse et est considéré comme destinataire des décisions et des demandes d'information. Pour le Secrétariat, il n'est pas pertinent de savoir où les informations demandées sont localisées. En tant que filiale [de ... D._______], [A._______] a manifestement la possibilité de les transmettre au Secrétariat". La décision attaquée elle-même qualifie la recourante de "destinataire formel" de la décision attaquée. Rien n'indique par ailleurs que la recourante en soit également le destinataire matériel. Au contraire, la recourante est uniquement appelée à jouer un rôle d'intermédiaire. L'autorité inférieure ne considère en effet la recourante que comme un représentant. La décision attaquée confirme ainsi le fait que c'est bien C._______ qui est visé par la demande de renseignements et qui en est donc le destinataire matériel. Le dispositif de la décision attaquée prévoit certes que "[A._______]" est tenue de transmettre à l'autorité inférieure les renseignements demandés. Toutefois, vu l'intention claire de l'autorité inférieure de s'adresser non pas à la recourante, mais bien à C._______, il convient de considérer que la recourante n'est pas matériellement concernée par la décision attaquée et que, en tant que simple destinataire formel, ses droits et ses obligations ne sont pas directement touchés. Une telle conclusion est d'ailleurs confirmée par les observations de l'autorité inférieure du 22 août 2013 ("[...] peu importe [que la recourante] soit la destinataire formelle de la décision du [...] qui met en cause matériellement [C._______]" [p. 4 (ch. 16)]). 1.4.1.3.2 Il ressort des observations de l'autorité inférieure du 22 août 2013 (p. 4 [ch. 13]) que la décision attaquée exige de la recourante qu'elle transmette la demande de renseignements, au moyen de la voie interne, à la société mère de son groupe. L'autorité inférieure ajoute que la destinataire de la décision attaquée ne subit aucun préjudice du fait de cette transmission. Selon le Tribunal administratif fédéral, outre cette transmission de la demande de renseignements, il peut également être demandé à la recourante de faire tout ce qui est en son pouvoir pour obtenir les informations de la part de C._______ et, le cas échéant, de recevoir et de faire parvenir à l'autorité inférieure les informations qui lui sont fournies par C._______. Il ne peut en revanche pas être exigé de la recourante qu'elle entreprenne des démarches qui relèvent de la seule compétence de C._______. La recourante ne saurait ainsi être tenue de fournir les informations demandées par l'autorité inférieure si C._______ a le pouvoir et la responsabilité exclusifs de décider de leur transmission. Il ne fait aucun doute que, même si les actes qui peuvent être exigés de la recourante (à savoir transmettre la demande de renseignements, faire des démarches auprès de C._______ et, le cas échéant, faire parvenir les informations à l'autorité inférieure) devaient constituer pour elle un préjudice, ce préjudice ne pourrait être qualifié d'irréparable. En outre, du fait qu'elle n'a aucune obligation matérielle de renseigner ou de produire des documents, la recourante ne risque aucune sanction administrative fondée sur l'art. 52 LCart dès le moment où elle établit qu'elle a accompli tous les actes qui entraient dans sa sphère de compétence. Pour les mêmes raisons, les personnes physiques disposant d'un pouvoir décisionnel au sein de l'entreprise n'encourent pas de sanctions pénales au sens de l'art. 55 LCart. Quant au risque, soulevé par la recourante, que l'Autorité fédérale de surveillance des marchés financiers (FINMA) conduise des investigations portant sur le respect de l'exigence d'une activité irréprochable au sens de l'art. 3 al. 2 let. c et cbis LB, il ne saurait être considéré comme la conséquence directe d'une (éventuelle) sanction à l'encontre de la recourante et/ou de ses organes. Comme le relève l'autorité inférieure, l'ouverture de l'enquête contre C._______ a été publiée dans la Feuille fédérale et la FINMA pourrait donc s'intéresser depuis longtemps aux agissements des sociétés du groupe. Enfin, la recourante n'allègue pas qu'elle serait susceptible de subir un préjudice irréparable du fait que la décision attaquée pourrait causer un préjudice à C._______. La recourante ne prétend par ailleurs pas agir (également) au nom de C._______ de sorte qu'il ne convient pas de prendre en considération un (éventuel) préjudice subi par C._______. 1.4.1.3.3 En conclusion, la décision attaquée ne saurait causer à la recourante un préjudice irréparable au sens de l'art. 46 al. 1 let. a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