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B-433/2013 vom 18. Februar 2014</w:t>
      </w:r>
    </w:p>
    <w:p>
      <w:r>
        <w:t>Bundesverwaltungsgericht, 2014-02-18, DE</w:t>
      </w:r>
    </w:p>
    <w:p>
      <w:r>
        <w:rPr>
          <w:b/>
        </w:rPr>
        <w:t xml:space="preserve">Quelle: </w:t>
      </w:r>
      <w:r>
        <w:t>https://mcp.opencaselaw.ch/entscheid/bvger_B-433_2013</w:t>
      </w:r>
    </w:p>
    <w:p>
      <w:r>
        <w:t>FR: TAF B-433/2013 du 18 février 2014</w:t>
      </w:r>
    </w:p>
    <w:p>
      <w:r>
        <w:t>IT: TAF B-433/2013 del 18 febbraio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 der gesetzlichen Frist von Art. 50 Abs. 1 des Verwaltungsverfahrensgesetzes vom 20. Dezember 1968 (VwVG, SR 172.021) eingereicht und der Kostenvorschuss rechtzeitig geleistet. Als Adressatin der angefochtenen Verfügungen ist die Beschwerdeführerin zur Beschwerde legitimiert (Art. 48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 Der Inhaber dieser älteren Marke kann sich allerdings nur auf den Ausschlussgrund der Verwechslungsgefahr stützen, wenn seine Marke im Zusammenhang mit den Waren und Dienstleistungen, für die sie beansprucht wird, ernsthaft gebraucht wird (Art. 11 Abs. 1 MSchG).</w:t>
      </w:r>
    </w:p>
    <w:p>
      <w:r>
        <w:rPr>
          <w:b/>
        </w:rPr>
        <w:t>E. 2.1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(Urteil des Bundesgerichts 4C.258/2004 vom 6. Oktober 2004 E. 2.3 Yello/Yellow, BGE 126 III 315 E. 6b/bb Rivella/Apiella; BGE 122 III 382 E. 3a Kamillosan/Kamillan).</w:t>
      </w:r>
    </w:p>
    <w:p>
      <w:r>
        <w:rPr>
          <w:b/>
        </w:rPr>
        <w:t>E. 2.3</w:t>
      </w:r>
    </w:p>
    <w:p>
      <w:r>
        <w:t>Die Markenähnlichkeit beurteilt sich nach dem Gesamteindruck, den die Marken in der Erinnerung der angesprochenen Verkehrskreise hinterlassen (BGE 121 III 377 E. 2a Boss/Boks; Eugen Marbach, in: Roland von Büren/Lucas David [Hrsg.], Schweizerisches Immaterialgüter- und Wettbewerbsrecht, Bd. III/1, Markenrecht, 2. Aufl., Basel 2009, N. 864; Lucas David, in: Kommentar zum schweizerischen Privatrecht, Markenschutzgesetz/Muster- und Modellgesetz, 2. Aufl., Basel 1999, MSchG Art. 3 N. 11 und 15; Christoph Willi, in: Markenschutzgesetz, Kommentar zum schweizerischen Markenrecht unter Berücksichtigung des europäischen und internationalen Markenrechts, Zürich 2002, Art. 3 N. 63 und 67).</w:t>
      </w:r>
    </w:p>
    <w:p>
      <w:r>
        <w:rPr>
          <w:b/>
        </w:rPr>
        <w:t>E. 2.4</w:t>
      </w:r>
    </w:p>
    <w:p>
      <w:r>
        <w:t>Bei reinen Wortmarken ist der Wortklang, das Schriftbild und gegebenenfalls der Sinngehalt massgebend (BGE 127 III 160 E. 2b/cc Securitas; BGE 121 III 377 E. 2b Boss/Boks). Dabei genügt es für die Annahme der Ähnlichkeit, wenn diese in Bezug auf nur eines dieser Kriterien bejaht wird (RKGE in sic! 2006 S. 761 E. 4 McDonald's/McLake; Eugen Marbach, in: Roland von Büren/Lucas David [Hrsg.], Schweizerisches Immaterialgüter- und Wettbewerbsrecht, Bd. III/1, Markenrecht, 2. Aufl., Basel 2009, N. 875). Der Wortklang wird im Wesentlichen durch die Silbenzahl, die Aussprachekadenz und die Aufeinanderfolge der Vokale bestimmt, das Erscheinungsbild durch die Wortlänge und die optische Wirkung der Buchstaben. Schliesslich ist zu beachten, dass der Wortanfang respektive Wortstamm in der Regel grössere Beachtung finden als dazwischen geschobene, unbetonte weitere Buchstaben oder Silben (BGE 127 III 160 E. 2b/cc Securitas; BGE 122 III 382 E. 5a Kamillosan/Kamillan; BGE 119 II 473 E. 2c Radion/ Radomat; RKGE in sic! 2002 S. 101 E. 6 Mikron [fig.]/ Mikromat [fig.]).</w:t>
      </w:r>
    </w:p>
    <w:p>
      <w:r>
        <w:rPr>
          <w:b/>
        </w:rPr>
        <w:t>E. 2.5</w:t>
      </w:r>
    </w:p>
    <w:p>
      <w:r>
        <w:t>Eine Verwechslungsgefahr kann in zweierlei Form entstehen. Einerseits wenn eines der zu vergleichenden Zeichen für das andere gehalten wird ("unmittelbare Verwechslungsgefahr"), aber auch wenn die massgeblichen Verkehrskreise die Zeichen zwar auseinanderhalten, dahinter aber unrichtige wirtschaftliche Zusammenhänge vermuten und namentlich annehmen, dass beide gekennzeichneten Angebote aus demselben Unternehmen stammen ("mittelbare Verwechslungsgefahr", vgl. Entscheid des schweizerischen Bundesgerichts 4C.171/2001 vom 5. Oktober 2001 in sic! 2002 S. 99 E. 1b Stoxx/StockX [fig.], BGE 128 III 97 E. 2a Orfina/Orfina, BGE 127 III 166 E. 2a Securitas).</w:t>
      </w:r>
    </w:p>
    <w:p>
      <w:r>
        <w:rPr>
          <w:b/>
        </w:rPr>
        <w:t>E. 3.1</w:t>
      </w:r>
    </w:p>
    <w:p>
      <w:r>
        <w:t>Die Verwechslungsgefahr führt jedoch nur zum Schutz der Widerspruchsmarke, wenn diese von der Beschwerdegegnerin entweder markenmässig gebraucht oder während der fünfjährigen Benutzungsschonfrist von Art. 12 Abs. 1 MSchG, in welcher noch kein markenmässiger Gebrauch erforderlich ist, geltend gemacht wird. Vorliegend begann die Benutzungsschonfrist für die Widerspruchsmarke der Beschwerdegegnerin mit dem Abschluss des Widerspruchsverfahrens Nr. 4'571, in welchem die Widerspruchsmarke die angefochtene Marke war. Die Rechtskraft dieses Verfahrens und somit der Beginn der Benutzungsschonfrist datiert vom 9. Dezember 2010, wodurch die Benutzungsschonfrist zum Zeitpunkt des Einlegens des vorliegenden Widerspruchs bzw. des im dadurch initiierten Verfahren geltend gemachten Nichtgebrauchs der Widerspruchsmarke nach wie vor lief. Entsprechend liess die Vorinstanz die Einrede des Nichtgebrauchs nicht zu und prüfte lediglich die Verwechslungsgefahr zwischen den strittigen Marken.</w:t>
      </w:r>
    </w:p>
    <w:p>
      <w:r>
        <w:rPr>
          <w:b/>
        </w:rPr>
        <w:t>E. 3.2</w:t>
      </w:r>
    </w:p>
    <w:p>
      <w:r>
        <w:t>Die Beschwerdeführerin macht nun geltend, dass aufgrund des nach längerer Sistierung am 9. Dezember 2010 abgeschlossenen Verfahrens eine sehr lange Benutzungsschonfrist vom Hinterlegungsdatum 27. April 2000 bis zum 8. Dezember 2015 für die Beschwerdegegnerin resultiere. Dies verunmögliche es Dritten in letzter Konsequenz, ihre Marken über viele Jahre in Gebrauch zu nehmen, denn bei Aufnahme des Gebrauchs ihrer Marke sähen sich jene Dritte unter einem permanenten Damoklesschwert, was wirtschaftlich kaum zumutbar sein dürfte. Daher müsse im vorliegenden Verfahren auch die langandauernde Koexistenz und das Fehlen tatsächlicher Verwechslungen der beiden strittigen Marken berücksichtigt werden und es dürfe nicht lediglich auf eine theoretische Verwechslungsgefahr abgestellt werden. In BGE 130 III 371 Focus/Color Focus vom 20. Februar 2004 äusserte sich das Bundesgericht in einem Zivilverfahren zur Thematik des Nichtgebrauchs einer Marke noch während der Dauer eines Widerspruchsverfahrens. In jenem Verfahren erwog das Bundesgericht, dass es einer widersprechenden Partei nicht zugemutet werden kann, den Ausgang eines noch hängigen Widerspruchsverfahrens abzuschätzen und den Gebrauch des umstrittenen Zeichens gestützt auf eine vorläufige Beurteilung bereits aufnehmen zu müssen (BGE 130 III E. 2.3 Focus/Color Focus). Ob gegenüber einer überlangen Erstreckung der Benutzungsschonfrist auch Interessen von Mitbewerbern oder anderer Marktteilnehmern berücksichtigt werden müssten, wie es die Beschwerdeführerin vorliegend behauptet, hat das Bundesgericht im erwähnten Fall zwar nicht entschieden. Die Frage ist allerdings für das vorliegende Widerspruchsbeschwerdeverfahren ohnehin nicht erheblich, da Ausschlussgründe ausserhalb von Art. 3 Abs. 1 MSchG im Widerspruchsverfahren grundsätzlich nicht geltend gemacht werden können (Urteil des Bundesverwaltungsgerichts B-3578/2007 vom 31. Oktober 2007 E. 4 Focus/Pure Focus mit Hinweisen, Gregor Wild, in: Michael G. Noth/Gregor Bühler/Florent Thouvenin [Hrsg.], Markenschutzgesetz [MSchG], Bern 2009, Art. 31 N. 10). Das Argument der Beschwerdeführerin auch die möglichen wirtschaftlichen Implikationen der langen Benutzungsschonfrist und die Koexistenz mit fehlenden tatsächlichen Verwechslungen im vorliegenden Verfahren zu berücksichtigen kann daher nicht gehört werden.</w:t>
      </w:r>
    </w:p>
    <w:p>
      <w:r>
        <w:rPr>
          <w:b/>
        </w:rPr>
        <w:t>E. 4.1</w:t>
      </w:r>
    </w:p>
    <w:p>
      <w:r>
        <w:t>Die Vorinstanz subsumierte die von der Beschwerdeführerin beanspruchten Dienstleistungen der Klasse 35, nämlich Dienstleistungen in Zusammenhang mit der Platzierung und Veröffentlichung von Inseraten und anderen Werbemitteln, Platzierung von Werbung via Internet, unter den von der Beschwerdegegnerin beanspruchten Oberbegriff Werbung und stellt diesbezüglich die Gleichheit der Dienstleistungen fest. Bezüglich der von der Beschwerdeführerin beanspruchten Dienstleistungen der Klasse 41 Veröffentlichung von Nachrichten und Informationen aus Zeitungen und Zeitschriften via Internet und den von der Beschwerdeführerin beanspruchten Dienstleistungen der Klasse 41 Veröffentlichung und Herausgabe von Büchern, Zeitungen und Zeitschriften stellte die Vorinstanz starke Gleichartigkeit fest, da die Grenzen zwischen Veröffentlichungsdienstleistungen via Internet und der Veröffentlichung via gedruckten Medien heutzutage fliessend seien und Verlagshäuser vielfach beides anböten. Diese Einschätzung wird weder von der Beschwerdeführerin bestritten noch drängt sich eine andere Beurteilung auf. Entsprechend kann mit der Vorinstanz von teilweiser Dienstleistungsgleichheit und teilweiser starker Dienstleistungsgleichartigkeit ausgegangen werden. Es ist daher ein strenger Massstab an die Verwechselbarkeit der Zeichen anzulegen (vgl. oben E. 2.2).</w:t>
      </w:r>
    </w:p>
    <w:p>
      <w:r>
        <w:rPr>
          <w:b/>
        </w:rPr>
        <w:t>E. 4.2</w:t>
      </w:r>
    </w:p>
    <w:p>
      <w:r>
        <w:t>Weiter sind die relevanten Verkehrskreise zu bestimmen. Die Widerspruchsmarke ist für die Dienstleistungen Werbung der Klasse 35 sowie Veröffentlichung und Herausgabe von Büchern, Zeitungen und Zeitschriften der Klasse 41 hinterlegt. Die Dienstleistung Werbung richtet sich in erster Linie an Personen, welche Werbung platzieren möchten und somit an ein Fachpublikum und nicht etwa an den Durchschnittsverbraucher, welcher Werbung konsumiert (Urteil des Bundesverwaltungsgerichts B-1009/2010 vom 14. März 2011 E. 3.3.1 Credit Suiss/UniCredit Suisse Bank [fig.]). Die Dienstleistung Veröffentlichung und Herausgabe von Büchern, Zeitungen und Zeitschriften hingegen richtet sich einerseits an Personen, welche Bücher, Zeitungen oder Zeitschriften herausgeben oder veröffentlichen möchten und somit an einen Kreis von fachkundigen Personen, andererseits ist wohl auch der Durchschnittskonsument, welcher Bücher, Zeitungen und Zeitschriften kauft, an der Herkunft und somit der Herausgeberschaft der Druckerzeugnisse interessiert. Somit bestehen die relevanten Verkehrskreise für die Dienstleistungen Veröffentlichung und Herausgabe von Büchern, Zeitungen und Zeitschriften aus Fachpersonen und Durchschnittskonsumenten. Wenn eine Marke wie vorliegend gleichzeitig mehrere Verkehrskreise anspricht, so genügt es zur Gutheissung eines Widerspruchs bereits, wenn eine Verwechslungsgefahr mit Bezug auf einen dieser Verkehrskreise besteht (Urteil des Bundesverwaltungsgerichts B-8242/2012 vom 22. Mai 2012 E. 3.2 LOMBARD ODIER &amp; CIE./Lombard NETWORK [fig.] mit weiteren Hinweisen, Eugen Marbach, in: Roland von Büren/Lucas David [Hrsg.], Schweizerisches Immaterialgüter- und Wettbewerbsrecht, Bd. III/1, Markenrecht, 2. Aufl., Basel 2009, N. 954)</w:t>
      </w:r>
    </w:p>
    <w:p>
      <w:r>
        <w:rPr>
          <w:b/>
        </w:rPr>
        <w:t>E. 5</w:t>
      </w:r>
    </w:p>
    <w:p>
      <w:r>
        <w:t>Als nächstes werden die strittigen Zeichen auf ihre Ähnlichkeit hin überprüft. Es stehen sich die reinen Wortmarken METRO und METROPOOL gegenüber.</w:t>
      </w:r>
    </w:p>
    <w:p>
      <w:r>
        <w:rPr>
          <w:b/>
        </w:rPr>
        <w:t>E. 5.1</w:t>
      </w:r>
    </w:p>
    <w:p>
      <w:r>
        <w:t>Sofort augenfällig ist die Tatsache, dass die Widerspruchsmarke als Ganzes in der angefochtenen Marke verwendet und lediglich mit dem Zusatz POOL ergänzt wird. Gemäss ständiger Rechtsprechung ist die unveränderte Übernahme einer älteren Marke in eine jüngere Marke unter dem Gesichtspunkt der Verwechslungsgefahr grundsätzlich unzulässig, wenn die ältere Marke nicht wesentlich verändert wird (Urteile des Bundesverwaltungsgerichts B-4772/2012 vom 12. August 2012 E. 5.2 Mc [fig.]/MC2[fig.] und B-3118/2007 vom 1. November 2007 E. 2 und 6.1 Swing/Swing Relaxx, Swing &amp; Relaxx [fig.]; RKGE in sic! 2006 S. 269 E.6 Michel [fig.]/Michel Compte Waters; sic! 2005 S. 757 E.6 Boss/Airboss; sic! 2005 S. 571 E.6 CJ Cavalli Jeans [fig.]/Rocco Cavalli [fig.]; sic! 2003 S. 907 E.5 Kiss/Soft-Kiss; sic! 2003 S. 904 E.7 7Seven[fig.]/Seven Pictures [fig.]; sic! 2001 S. 813 E.7 VIVA/CoopVIVA [fig.], mit Hinweisen; sic! 2000 S. 509 E.5 DK/dk Daniel Kramer Cosmetics [fig.]).</w:t>
      </w:r>
    </w:p>
    <w:p>
      <w:r>
        <w:rPr>
          <w:b/>
        </w:rPr>
        <w:t>E. 5.2</w:t>
      </w:r>
    </w:p>
    <w:p>
      <w:r>
        <w:t>Die Übernahme des Hauptbestandteils einer Marke kann allerdings dann zulässig sein, wenn der übernommene Bestandteil derart mit der neuen Marke verschmolzen wird, dass er seine Individualität verliert und nur noch als untergeordneter Teil des jüngeren Zeichens erscheint (Urteile des Bundesverwaltungsgerichts B-5616/2012 vom 28. November 2013 E. 4.2 VZ VermögensZentrum/SVZ Schweizer VorsorgeZentrum und B 4772/2012 vom 12. August 2012 E. 5.2 Mc [fig.]/MC2 [fig.] mit weiteren Hinweisen, Gallus Joller, in: Michael G. Noth/Gregor Bühler/Florent Thouvenin [Hrsg.], Markenschutzgesetz [MSchG], Bern 2009, Art. 3 N. 128). Vorliegend besteht das jüngere Zeichen aus dem älteren Zeichen, nämlich METRO, und dem Zusatz POOL. Sowohl schriftbildlich als auch klangbildlich bleibt das Wort Metro klar individualisierbar und als prägender Bestandteil erkennbar. Dies nicht zuletzt auch daher, weil beim Vergleich zweier Zeichen der Wortanfang besondere Beachtung verdient und Ähnlichkeiten an dieser Stelle mehr ins Gewicht fallen (BGE 127 III 160 E. 2b/cc Securitas; BGE 122 III 382 E. 5a Kamillosan/Kamillan; BGE 119 II 473 E. 2c Radion/ Radomat; RKGE in sic! 2002 S. 101 E. 6 Mikron [fig.]/ Mikromat [fig.]). Die Zeichenähnlichkeit ist somit bezüglich Schrift- und Klangbild gegeben.</w:t>
      </w:r>
    </w:p>
    <w:p>
      <w:r>
        <w:rPr>
          <w:b/>
        </w:rPr>
        <w:t>E. 5.3</w:t>
      </w:r>
    </w:p>
    <w:p>
      <w:r>
        <w:t>Unter Umständen ist es allerdings möglich, dass eine vorhandene Zeichenähnlichkeit durch einen unterschiedlichen Sinngehalt kompensiert wird (vgl. BGE 112 II 362 E. 2 Escolino/Seccolino, BGE 121 III 377 E. 2b Boss/Boks; Gallus Joller, in: Michael G. Noth/Gregor Bühler/Florent Thouvenin [Hrsg.], Markenschutzgesetz [MSchG], Bern 2009, Art. 3 N. 168 ff.; Eugen Marbach, in: Roland von Büren/Lucas David [Hrsg.], Schweizerisches Immaterialgüter- und Wettbewerbsrecht, Bd. III/1, Markenrecht, 2. Aufl., Basel 2009, N. 886 f.). Dies setzt allerdings voraus, dass die konfligierenden Marken je einen für die massgebenden Verkehrskreise erkennbaren Sinngehalt aufweisen und dieser Sinngehalt spontan erkannt und verstanden wird (vgl. Urteile des Bundesverwaltungsgerichts B-4772/2012 vom 12. August 2012 Mc [fig.]/MC2 [fig.], vom 29. April 2011 B-38/2011, B-39/2011, B-40/2011 E. 7.3.2 IKB/ICB [fig.]/ICB BANKING; sowie B-142/2009 vom 6. Mai 2009 E. 5.4 Pulcino/Dolcino; RKGE in sic! 1998 S. 50 E. 6 Clinique/Unique frisch Kosmetik [fig.]; Gallus Joller in: Michael G. Noth/Gregor Bühler/Florent Thouvenin [Hrsg.], Markenschutzgesetz [MSchG], Bern 2009, Art. 3 N. 156/168; Eugen Marbach, in: Roland von Büren/Lucas David [Hrsg.], Schweizerisches Immaterialgüter- und Wettbewerbsrecht, Bd. III/1, Markenrecht, 2. Aufl., Basel 2009, N. 889). Die Beschwerdeführerin argumentiert, dass genau dies vorliegend der Fall sei. Der Sinngehalt der Widerspruchsmarke METRO liege im französischen Wort für Untergrundbahn (Die deutsche Rechtschreibung, Dudenverlag 25. Auflage, Mannheim, Wien, Zürich 2009), wohingegen das Publikum beim Anblick der angefochtenen Marke METROPOOL nicht an Untergrundbahn sondern an das Wort Metro im Sinne einer Abkürzung für Metropole und das Element POOL als fantasievollen Zusatz im Sinne eines "Gemeinschaftstopfes" denken würde. Der Zusatz Pool sei zudem geeignet, dem Wort Metro den ursprünglichen Sinngehalt von Untergrundbahn zu berauben und die angefochtene Marke METROPOOL in einem gänzlich neuen Gesamteindruck erscheinen zu lassen. Dieser Argumentation kann nicht gefolgt werden. Wohl ist es möglich, dass die relevanten Verkehrskreise das Wort Metro in der Marke METROPOOL nicht nur als Bezeichnung für Untergrundbahn verstehen sondern auch als Kurzform für Metropole. Diese Auslegung gälte allerdings gleichermassen für die Widerspruchsmarke METRO, womit auch dieser Argumentation folgend für die beiden strittigen Marken kein unterschiedlicher Sinngehalt festgestellt werden kann. Und wenn unter Umständen die angefochtene Marke METROPOOL auch eher als Abwandlung von Metropole verstanden würde als die Widerspruchsmarke METRO als Kurzform von Metropole, kann nicht ausgeschlossen werden, dass die relevanten Verkehrskreise beiden Zeichen jeweils beide Sinngehalte zuordnen, womit auf der Ebene des Sinngehalts kein genügender Abstand zwischen den beiden Zeichen hergestellt wird. Auch das Argument, wonach der fantasievolle Zusatz POOL im Sinne eines "Gemeinschaftstopfes" dem Widerspruchszeichen einen gänzlich neuen Sinngehalt verleihe, ist nicht stichhaltig. Wie die Beschwerdeführerin selber ausführt, ist der Bestandteil POOL in Relation zum Bestandteil METRO ein fantasievoller Zusatz. Die Kombination "Gemeinschaftstopf" und "Grossstadt" bzw. "Untergrundbahn" ergibt allerdings keinen derart neuen Sinngehalt, welcher die Bedeutung der einzelnen Elemente derart in den Hintergrund drängte, dass diese nicht mehr als solche wahrnehmbar wären. Entsprechend verfügt die angefochtene Marke nicht über einen neuen Sinngehalt, welcher den Gesamteindruck nachhaltig verändern könnte. Die Zeichenähnlichkeit der strittigen Zeichen ist somit erstellt.</w:t>
      </w:r>
    </w:p>
    <w:p>
      <w:r>
        <w:rPr>
          <w:b/>
        </w:rPr>
        <w:t>E. 6</w:t>
      </w:r>
    </w:p>
    <w:p>
      <w:r>
        <w:t>Die Widerspruchsmarke METRO hat in Bezug auf die relevanten Dienstleistungen Veröffentlichung und Herausgabe von Büchern, Zeitungen und Zeitschriften sowie Werbung keinen beschreibenden Charakter und ist auch nicht gemeinfrei. Es kann daher von mindestens normaler Kennzeichnungskraft der Widerspruchsmarke ausgegangen werden. Ob eine erhöhte Kennzeichnungskraft vorliegt, wie die Beschwerdegegnerin geltend macht, kann indes offen bleiben, da eine Verwechslungsgefahr bereits bei der Annahme einer normalen Kennzeichnungskraft nicht ausgeschlossen werden kann (vgl. E. 7 nachfolgend).</w:t>
      </w:r>
    </w:p>
    <w:p>
      <w:r>
        <w:rPr>
          <w:b/>
        </w:rPr>
        <w:t>E. 7</w:t>
      </w:r>
    </w:p>
    <w:p>
      <w:r>
        <w:t>In einer Gesamtbetrachtung aller Vorbringen muss nun beurteilt werden, ob eine Verwechslungsgefahr vorliegt. Die sich gegenüberstehenden Dienstleistungen sind teilweise gleich, teilweise stark gleichartig, weshalb zur Beurteilung der Verwechslungsgefahr ein strenger Massstab angewendet wird. Der massgebliche Aufmerksamkeitsgrad ist für die Dienstleistungen der Klasse 35 derjenige von Fachpersonen und für die Dienstleistungen der Klasse 41 derjenige von Durchschnittskonsumenten. Bei Annahme einer lediglich normalen Kennzeichnungskraft der Widerspruchsmarke und in Kombination des strengen anzuwendenden Massstabes, führt die Übernahme des Hauptelements der Widerspruchsmarke in die angefochtene Marke für beide massgeblichen Verkehrskreise zu einer Verwechslungsgefahr zwischen den strittigen Zeichen. Ob ergänzend auch eine mittelbare Verwechslungsgefahr besteht, kann beim vorliegenden Ergebnis offen gelassen werden. Die Beschwerde erweist sich als unbegründet und ist abzuweisen.</w:t>
      </w:r>
    </w:p>
    <w:p>
      <w:r>
        <w:rPr>
          <w:b/>
        </w:rPr>
        <w:t>E. 8</w:t>
      </w:r>
    </w:p>
    <w:p>
      <w:r>
        <w:t>Bei diesem Ausgang des Verfahrens ist die Beschwerdeführerin kosten- und entschädigungspflichtig (Art. 63 Abs. 1 und Art.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8.2</w:t>
      </w:r>
    </w:p>
    <w:p>
      <w:r>
        <w:t>Die Beschwerdeführerin hat der Beschwerdegegnerin eine angemessene Parteientschädigung für die ihr erwachsenen notwendigen Kosten zu entrichten (Art. 64 Abs. 1 VwVG i.V.m. Art. 7 Abs. 1 VGKE). Die Parteientschädigung ist aufgrund der eingereichten Kostennote festzulegen (Art. 14. Abs. 2 VGKE). Der Rechtsvertreter der Beschwerdegegnerin hat dem Bundesverwaltungsgericht zusammen mit der Beschwerdeantwort eine detaillierte Kostennote in der Höhe von Fr. 5'356.- eingereicht. In Bezug auf den geltend gemachten Aufwand erscheint die Kostennote auch unter Berücksichtigung des erforderlichen Fachwissens höher als die notwendigen Kosten. Sie ist entsprechend herabzusetzen. In Würdigung der Aktenlage scheint eine Parteientschädigung der Beschwerdeführerin an die Beschwerdegegnerin von Fr. 2'100.- (exkl. MWST) als angemessen. 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Beschwerdegegnerin hat ihren Sitz in Düsseldorf, Deutschland. Eine Ausnahme im Sinne von Art. 8 Abs. 2 MWSTG liegt nicht vor. Sie ist somit für die Parteientschädigung nicht MWST-pflichtig, weshalb die Parteientschädigung exklusive MWST aufzufassen ist.</w:t>
      </w:r>
    </w:p>
    <w:p>
      <w:r>
        <w:rPr>
          <w:b/>
        </w:rPr>
        <w:t>E. 9</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