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B-42/2018 vom 22. Januar 2018</w:t>
      </w:r>
    </w:p>
    <w:p>
      <w:r>
        <w:t>Bundesverwaltungsgericht, 2018-01-22, DE</w:t>
      </w:r>
    </w:p>
    <w:p>
      <w:r>
        <w:rPr>
          <w:b/>
        </w:rPr>
        <w:t xml:space="preserve">Quelle: </w:t>
      </w:r>
      <w:r>
        <w:t>https://mcp.opencaselaw.ch/entscheid/bvger_B-42_2018</w:t>
      </w:r>
    </w:p>
    <w:p>
      <w:r>
        <w:t>FR: TAF B-42/2018 du 22 janvier 2018</w:t>
      </w:r>
    </w:p>
    <w:p>
      <w:r>
        <w:t>IT: TAF B-42/2018 del 22 gennaio 2018</w:t>
      </w:r>
    </w:p>
    <w:p>
      <w:pPr>
        <w:pStyle w:val="Heading2"/>
      </w:pPr>
      <w:r>
        <w:t>Regeste</w:t>
      </w:r>
    </w:p>
    <w:p>
      <w:r>
        <w:t>Urheberrecht</w:t>
      </w:r>
    </w:p>
    <w:p>
      <w:pPr>
        <w:pStyle w:val="Heading2"/>
      </w:pPr>
      <w:r>
        <w:t>Erwägungen</w:t>
      </w:r>
    </w:p>
    <w:p>
      <w:r>
        <w:rPr>
          <w:b/>
        </w:rPr>
        <w:t>E. 1</w:t>
      </w:r>
    </w:p>
    <w:p>
      <w:r>
        <w:t>GastroSuisse, Blumenfeldstrasse 20, 8046 Zürich,</w:t>
      </w:r>
    </w:p>
    <w:p>
      <w:r>
        <w:rPr>
          <w:b/>
        </w:rPr>
        <w:t>E. 2</w:t>
      </w:r>
    </w:p>
    <w:p>
      <w:r>
        <w:t>ProLitteris, Schweizerische Urheberrechtsgesellschaft für Literatur und bildende Kunst, Genossenschaft, Postfach 205, 8024 Zürich,</w:t>
      </w:r>
    </w:p>
    <w:p>
      <w:r>
        <w:rPr>
          <w:b/>
        </w:rPr>
        <w:t>E. 3</w:t>
      </w:r>
    </w:p>
    <w:p>
      <w:r>
        <w:t>SSA Schweizerische Autorengesellschaft, Postfach 7463, 1002 Lausanne,</w:t>
      </w:r>
    </w:p>
    <w:p>
      <w:r>
        <w:rPr>
          <w:b/>
        </w:rPr>
        <w:t>E. 4</w:t>
      </w:r>
    </w:p>
    <w:p>
      <w:r>
        <w:t>SUISA, Genossenschaft für Urheber und Verleger von Musik, Bellariastrasse 82, Postfach 782, 8038 Zürich,</w:t>
      </w:r>
    </w:p>
    <w:p>
      <w:r>
        <w:rPr>
          <w:b/>
        </w:rPr>
        <w:t>E. 5</w:t>
      </w:r>
    </w:p>
    <w:p>
      <w:r>
        <w:t>SWISSPERFORM, Gesellschaft für Leistungsschutzrechte, Kasernenstrasse 23, 8004 Zürich, alle vertreten durch die Rechtsanwälte PD Dr. iur. Ernst Brem und Dr. iur. Ernst J. Brem, Anwaltsbüro Brem, Im Langacher 21, Postfach 10, 8805 Richterswil, Beschwerdegegnerinnen, Eidgenössische Schiedskommission für die Verwertung von Urheberrechten und verwandten Schutzrechten, Bundesrain 20, 3003 Bern, Vorinstanz. Gegenstand GT 3a Zusatz - Kostenregelung. Das Bundesverwaltungsgericht stellt fest und erwägt, dass das Bundesgericht die Beschwerden der Beschwerdeführerinnen gegen die Urteile B-6540/2012 vom 14. März 2014 und B-3865/2015 vom 7. Juli 2016 mit Urteil vom 13. Dezember 2017 teilweise gutgeheissen und die Sache zur Neuregelung der Kosten- und Entschädigungsfolgen der vorinstanzlichen Verfahren an das Bundesverwaltungsgericht zurückgewiesen hat, dass die teilweise Gutheissung auf eine Rechtsfrage im Urteil B-3865/2015 beschränkt ist, welche den Aufwand in jenem Verfahren ungefähr zur Hälfte umfasst, dass somit die Kosten- und Entschädigungsfolgen des Verfahrens B-3865/2015 neu zu regeln sind, wofür es angemessen erscheint, beiden Seiten die Kosten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