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B-421/2012 vom 8. April 2012</w:t>
      </w:r>
    </w:p>
    <w:p>
      <w:r>
        <w:t>Bundesverwaltungsgericht, 2012-04-08, DE</w:t>
      </w:r>
    </w:p>
    <w:p>
      <w:r>
        <w:rPr>
          <w:b/>
        </w:rPr>
        <w:t xml:space="preserve">Quelle: </w:t>
      </w:r>
      <w:r>
        <w:t>https://mcp.opencaselaw.ch/entscheid/bvger_B-421_2012</w:t>
      </w:r>
    </w:p>
    <w:p>
      <w:r>
        <w:t>FR: TAF B-421/2012 du 8 avril 2012</w:t>
      </w:r>
    </w:p>
    <w:p>
      <w:r>
        <w:t>IT: TAF B-421/2012 del 8 aprile 2012</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BVGE 2008/48, nicht publizierte E. 1.2).</w:t>
      </w:r>
    </w:p>
    <w:p>
      <w:r>
        <w:rPr>
          <w:b/>
        </w:rPr>
        <w:t>E. 1.1</w:t>
      </w:r>
    </w:p>
    <w:p>
      <w:r>
        <w:t>Gegen Verfügungen über den Zuschlag in Vergabeverfahren steht unter gegebenen Voraussetzungen die Beschwerde an das Bundesverwaltungsgericht offen (Art. 27 Abs. 1 i.V.m. Art. 29 Bst. a des Bundesgesetzes über das öffentliche Beschaffungswesen vom 16. Dezember 1994, BöB, SR 172.056.1).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w:t>
      </w:r>
    </w:p>
    <w:p>
      <w:r>
        <w:rPr>
          <w:b/>
        </w:rPr>
        <w:t>E. 1.2</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5. Abschnitt des BöB ist nach der Konzeption dieses Gesetzes nur zulässig gegen Beschaffungen, welche in den Geltungsbereich des BöB fallen (e contrario Art. 2 Abs. 3 Satz 4 BöB, vgl. auch Art. 39 VöB; BVGE 2008/61 E. 3.1 und 2008/48 E. 2.1; Entscheid der Eidgenössischen Rekurskommission für das öffentliche Beschaffungswesen, BRK, vom 11. Oktober 2001, veröffentlicht in: Verwaltungspraxis der Bundesbehörden, VPB 66.4, E. 1b mit Hinweisen).</w:t>
      </w:r>
    </w:p>
    <w:p>
      <w:r>
        <w:rPr>
          <w:b/>
        </w:rPr>
        <w:t>E. 1.3</w:t>
      </w:r>
    </w:p>
    <w:p>
      <w:r>
        <w:t>Die Vergabestelle ist als Bundesamt Teil der allgemeinen Bundesverwaltung und untersteht daher dem BöB (Art. 2 Abs. 1 Bst. a BöB).</w:t>
      </w:r>
    </w:p>
    <w:p>
      <w:r>
        <w:rPr>
          <w:b/>
        </w:rPr>
        <w:t>E. 1.4</w:t>
      </w:r>
    </w:p>
    <w:p>
      <w:r>
        <w:t>Der zu vergebende Auftrag besteht schwergewichtig in einer Lieferung (von Terminals und Badges), enthält aber auch eine Dienstleistungskomponente (Koordination und Durchführung von Setup- und Inbetriebnahmearbeiten; Nachführungs- und Segmentierungsarbeiten hinsichtlich der Badges). Gemäss Art. 6 Abs. 1 Bst. a bzw. b BöB i.V.m. Art. 1 Bst. a bzw. b der im Zeitpunkt des angefochtenen Zuschlags in Kraft stehenden (vgl. Urteil des Bundesverwaltungsgerichts B-4717/2010 vom 1. April 2011 E. 1.3 mit Hinweis) Verordnung des EVD über die Anpassung der Schwellenwerte im öffentlichen Beschaffungswesen für die Jahre 2012 und 2013 vom 23. November 2011 (AS 2011 5581) ist das BöB anwendbar, wenn der geschätzte Wert des zu vergebenden Liefer- bzw. Dienstleistungsauftrags den Schwellenwert (ohne MWST) von Fr. 230'000.- erreicht. Laut Publikation vom 3. Januar 2012 auf simap.ch (Ziff. 3.2) wurde der Zuschlag zum Preis von Fr. 1'139'300.- (exkl. MWST) erteilt. Gemäss Ziff. 3.2 und Ziff. 4.4 der Zuschlagspublikation setzt sich dieser Preis aus dem Grundangebot über Fr. 497'500.- und einer Option im Wert von Fr. 641'800.- zusammen. Demnach wird der für die Anwendbarkeit des BöB massgebliche Schwellenwert im vorliegenden Fall überschritten.</w:t>
      </w:r>
    </w:p>
    <w:p>
      <w:r>
        <w:rPr>
          <w:b/>
        </w:rPr>
        <w:t>E. 1.5</w:t>
      </w:r>
    </w:p>
    <w:p>
      <w:r>
        <w:t>Gemäss Evaluationsbericht wurde die Beschwerdeführerin im Rahmen der Zuschlagserteilung ausgeschlossen. Als ausgeschlossene Anbieterin ist sie nach Art. 48 Abs. 1 VwVG zur Beschwerde legitimiert (vgl. Zwischenentscheide des Bundesverwaltungsgerichts B-6123/2011 vom 8. Dezember 2011 E. 1.1 und B-504/2009 vom 3. März 2009 E. 1.4). Frist und Form der Beschwerde sind gewahrt (Art. 50 Abs. 1 und Art. 52 Abs. 1 VwVG). Der Kostenvorschuss wurde fristgerecht bezahlt (Art. 63 Abs. 4 VwVG).</w:t>
      </w:r>
    </w:p>
    <w:p>
      <w:r>
        <w:rPr>
          <w:b/>
        </w:rPr>
        <w:t>E. 1.6</w:t>
      </w:r>
    </w:p>
    <w:p>
      <w:r>
        <w:t>Nach Art. 29 BöB gelten als durch Beschwerde selbständig anfechtbare Verfügungen insbesondere die Ausschreibung des Auftrags (Bst. b) und der Zuschlag (Bst. a). Einwände, welche die Ausschreibung betreffen, können im Rahmen eines Beschwerdeverfahrens gegen einen späteren Verfügungsgegenstand grundsätzlich nicht mehr vorgebracht werden (BGE 130 I 241 E. 4.3; vgl. Urteil des Bundesverwaltungsgerichts B-8061/2010 vom 18. April 2011 E. 5.1; vgl. (betreffend Eignungskriterien) Zwischenentscheid des Bundesverwaltungsgerichts B-1688/2010 vom 19. Juli 2010 E. 4.3 mit Hinweisen; Entscheid der BRK vom 16. November 2001, BRK 2001-011, publiziert in: VPB 66.38, E. 2c/aa mit Hinweisen); dies gilt jedenfalls in dem Masse, wie Bedeutung und Tragweite der getroffenen Anordnungen ohne Weiteres erkennbar sind (Zwischenentscheid des Bundesverwaltungsgerichts B-504/2009 vom 3. März 2009 E. 5.3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(Entscheid der BRK vom 16. November 2001, BRK 2001-011, publiziert in: VPB 66.38, E. 3c/cc; vgl. zum Ganzen auch das Urteil des Bundesverwaltungsgerichts B-4717/2010 vom 1. April 2011 E. 5.1).</w:t>
      </w:r>
    </w:p>
    <w:p>
      <w:r>
        <w:rPr>
          <w:b/>
        </w:rPr>
        <w:t>E. 1.7</w:t>
      </w:r>
    </w:p>
    <w:p>
      <w:r>
        <w:t>Die Beschwerdeführerin wurde gemäss Evaluationsbericht vom Vergabeverfahren ausgeschlossen, weil ihr Angebot - was unbestritten ist - nicht alle geforderten technischen Spezifikationen erfüllt. Zu prüfen ist, ob es nach der oben (E. 1.6) dargestellten Praxis zulässig ist, dass die Beschwerdeführerin ihre sich gegen die ihrer Ansicht nach inadäquaten Anforderungen an den Beschaffungsgegenstand und somit zumindest sinngemäss gegen den Ausschluss bzw. dessen Begründung richtenden Rügen erst im Rahmen einer Anfechtung des Zuschlags vorbringt.</w:t>
      </w:r>
    </w:p>
    <w:p>
      <w:r>
        <w:rPr>
          <w:b/>
        </w:rPr>
        <w:t>E. 1.7.1</w:t>
      </w:r>
    </w:p>
    <w:p>
      <w:r>
        <w:t>In Ziff. 2.5 der Ausschreibung vom 13. September 2011 wird unter dem Titel "detaillierter Produktebeschrieb" Folgendes ausgeführt: Grundlage bildet das Projekt "Standardisierung Zeitwirtschaft Bund" des EPA, welches auf dem IRB-Beschluss 2007-084-230 und dem Standard S002 basiert. Das EFD hat sich entschieden, die Einführung der Zeitwirtschaft im Departement zentral zu koordinieren und zu steuern. Dazu wurde im Bereich Ressourcen / IKT des GS-EFD ein entsprechendes Projekt eingesetzt. Aktuell werden im Departement EFD verschiedene Zeiterfassungsterminals und Badges eingesetzt, welche im Rahmen der Standardisierung der Zeitwirtschaft am Ende ihres Life-Cycles ersetzt werden sollen. Zukünftig wird über die Zeiterfassungsterminals nur noch die Präsenzzeiterfassung (Kommen/Gehen) erfolgen. Für die Schnittstelle zum SAP HCR (welches für die Personalwirtschaft in der Bundesverwaltung standardisiert ist) werden heute die Softwareprodukte exos der Firma Bridge sowie besicomm der Firma Besico AG eingesetzt, welche auch zukünftig für die Integration ins SAP genutzt werden sollen respektive die dazu notwendigen Dienstleistungen zur jeweiligen Einrichtung der Schnittstelle ins SAP HCR erbringen werden. Ebenfalls soll zukünftig die auf den heute verwendeten Badgekarten eingesetzte Technologie weiterverwendet werden. Die physische Integration der Zeiterfassungsterminals (Montage, Strom- und Netzanschluss) sowie das spätere Aufbringen zusätzlicher Spuren zwecks Einsatzerweiterung auf den gelieferten Badgekarten wird jeweils ausschliesslich durch das BBL, Bereich Bauten, vorgenommen.</w:t>
      </w:r>
    </w:p>
    <w:p>
      <w:r>
        <w:rPr>
          <w:b/>
        </w:rPr>
        <w:t>E. 1.7.2</w:t>
      </w:r>
    </w:p>
    <w:p>
      <w:r>
        <w:t>Die Parteien äussern sich im Verfahren vor dem Bundesverwaltungsgericht wie folgt:</w:t>
      </w:r>
    </w:p>
    <w:p>
      <w:r>
        <w:rPr>
          <w:b/>
        </w:rPr>
        <w:t>E. 1.7.2.1</w:t>
      </w:r>
    </w:p>
    <w:p>
      <w:r>
        <w:t>Die Beschwerdeführerin erklärt, aufgrund der Formulierung "... auch zukünftig ... genutzt werden sollen ..." habe das Kriterium der Weiterverwendung der Softwareprodukte exos und besicomm für die Schnittstelle zum SAP HCR zunächst nicht als absolut zwingend betrachtet werden müssen, zumal es sich dabei auch um ein gänzlich untergeordnetes Element der Beschaffung handle. Für das Bindeglied zwischen der Hardware und dem SAP-Modul gebe es je nach Produkt verschiedenste Möglichkeiten. Im Pflichtenheft sei denn auch als Grundsatz nur generell festgehalten worden, die Anbindung der Zeiterfassungsterminals an das in der Bundesverwaltung standardisierte ERP-System SAP ECC 6.0 müsse sichergestellt werden. Es sei zunächst nicht ohne Weiteres erkennbar gewesen, dass die Verwendung der exos / besicomm - Treiber ein absolutes Muss-Kriterium sei. In der Ausschreibung sei zwar erwähnt worden, dass die bestehenden Produkte auch in Zukunft eingesetzt werden sollten. Daraus habe aber nicht abgeleitet werden können, dass sämtliche Hardware, die nicht über diese Software angebunden werde, "vom Angebot ausgeschlossen" sei. Dass die zwingende Beschränkung auf die beiden Produkte exos und besicomm in der Ausschreibung für die meisten Anbieter nicht erkennbar und vor allem nicht nachvollziehbar gewesen sei, zeige sich auch im Fragenkatalog. Ein grosser Teil der Fragen beziehe sich genau auf diese Problematik. Sei zunächst noch - harmlos - davon gesprochen worden, die bestehenden Produkte sollten auch weiterhin genutzt werden, sei in den Antworten festgehalten worden, die Anbindung der Terminals müsse über exos oder besicomm erfolgen. Eine andere Anbindung sei nicht möglich; auch eine direkte Koppelung an das SAP HCR sei ausgeschlossen, was ebenfalls eine unverständliche Einschränkung sei. Anlässlich des Debriefings sei dann sogar erklärt worden, es seien nur Angebote in Frage gekommen, die sowohl exos als auch besicomm verwenden könnten, was definitiv nur zu einem Anbieter geführt habe.</w:t>
      </w:r>
    </w:p>
    <w:p>
      <w:r>
        <w:rPr>
          <w:b/>
        </w:rPr>
        <w:t>E. 1.7.2.2</w:t>
      </w:r>
    </w:p>
    <w:p>
      <w:r>
        <w:t>Die Vergabestelle erwidert, aus Ziff. 2.5 der Ausschreibung vom 13. September 2011 auf simap.ch ergebe sich eindeutig, dass die Anbindung der Terminals an SAP nicht über irgendeine allenfalls mögliche neue Variante erfolgen solle, sondern über die bestehende Middleware exos und besicomm, die einen zentralen Bestandteil der Sicherheitsarchitektur bilde. Der Beschwerdeführerin als Kennerin der Zeitbewirtschaftung in der Bundesverwaltung sei die Bedeutung dieser Anforderung aufgrund ihrer Stellung als bisherige Lieferantin und Gegnerin des Standardisierungsentscheides sehr wohl bewusst gewesen. Insbesondere sei für alle interessierten Anbieter klar gewesen, dass die technischen Spezifikationen Muss-Kriterien seien, deren Nichterfüllung die Nichtberücksichtigung des Angebots zur Folge habe, dass die Anbindung der neuen Terminals an SAP ausschliesslich über exos bzw. besicomm erfolgen solle, dass die Besico AG und die Bridge Betriebsdaten AG die Integration der von den Anbietern zu liefernden Terminals in exos bzw. besicomm vornehmen würden und dass eine direkte Koppelung der Terminals an SAP HCR ausgeschlossen sei. Die Beschwerdeführerin hätte ihre Rüge bereits mit einer Beschwerde gegen die Ausschreibung (und die gleichzeitig publizierten Ausschreibungsunterlagen) geltend machen müssen. Zumindest hätte sie ihre Einwände vorher äussern müssen. Als Fachanbieterin für Zeiterfassungsterminals und -systeme kenne sie sowohl die IT-Architektur im Bereich der Zeitwirtschaft beim Bund als auch den Markt, die Konkurrenten und deren Produkte. Sie hätte daher die ihrer Ansicht nach fehlende Produktneutralität früher rügen müssen. Stattdessen habe sie die Vergabestelle nie auf die behaupteten Mängel hingewiesen. Im Gegenteil habe sie ein vorbehaltloses Angebot eingereicht. Damit habe sie ihr Beschwerderecht in diesem Punkt verwirkt. Die Beschwerdeführerin rüge auch, dass die Bündelung der Beschaffung von Zeiterfassungsterminals und Badges die Zuschlagsempfängerin bevorzugt habe. Die Zusammensetzung des Beschaffungsgegenstandes habe sich aber ebenfalls bereits aus der Publikation der Ausschreibung ergeben. Ausserdem stehe es im Ermessen der Vergabestelle, ob sie die verschiedenen Leistungen (Zeiterfassungsterminals und Badges) gesamthaft aus einer Hand beziehen möchte, Bietergemeinschaften und Subunternehmer zulasse oder den Bedarf in Losen ausschreibe. Bis zur Einreichung der Beschwerde habe die Beschwerdeführerin nie einen Einwand in Bezug auf die Bündelung von Badges und Terminals erhoben. Die Rüge der Beschwerdeführerin, diese Zusammensetzung habe sie benachteiligt bzw. Andere bevorzugt, erfolge daher ebenfalls zu spät.</w:t>
      </w:r>
    </w:p>
    <w:p>
      <w:r>
        <w:rPr>
          <w:b/>
        </w:rPr>
        <w:t>E. 1.7.2.3</w:t>
      </w:r>
    </w:p>
    <w:p>
      <w:r>
        <w:t>In ihrer Replik vom 16. März 2012 ergänzte die Beschwerdeführerin unter anderem, bei der Ausschreibung habe in dieser Tragweite nicht erkannt werden können, dass mit der Beschaffung von Hardware, welche ausdrücklich nicht standardisiert werden solle, beabsichtigt worden sei, die Einführung eines Standards für Middleware zu begründen. Es sei einem KMU-Betrieb auch schlichtweg nicht zuzumuten, bei jeder Ausschreibung danach zu fahnden, ob allenfalls irgendwo eine versteckte diskriminierende Spezifikation eingebaut worden sei, erst recht, wenn es sich dabei gar nicht um den eigentlichen Ausschreibungsgegenstand handle. Wer sich auf eine Ausschreibung hin bewerben wolle, müsse die Zeit nutzen, um eine gute Offerte zusammenzustellen.</w:t>
      </w:r>
    </w:p>
    <w:p>
      <w:r>
        <w:rPr>
          <w:b/>
        </w:rPr>
        <w:t>E. 1.7.2.4</w:t>
      </w:r>
    </w:p>
    <w:p>
      <w:r>
        <w:t>Das BBL erklärte in seiner Duplik vom 2. April 2012 namentlich, abgesehen davon, dass es sich bei der fraglichen Spezifikation um ein technisches Muss-Kriterium handle, zu dessen Verständnis juristische Kenntnisse weder hilfreich noch erforderlich seien, entbehrten die Ausführungen der Beschwerdeführerin jeder Grundlage. Sie stünden auch in klarem Widerspruch zu deren Ausführungen in der Replik, wonach sie gewusst habe, dass ausser der Software-Anbieterin Bridge und der Zuschlagsempfängerin niemand die Anbindung über die beiden Produkte (exos und besicomm) offerieren konnte, die Beschwerdeführerin aber dennoch an der Ausschreibung teilgenommen habe. Die Beschwerdeführerin habe weder nach der Publikation der Ausschreibung, noch in der Fragerunde oder in ihrem Angebot, ja nicht einmal im Schreiben vom 17. November 2011, als sie explizit auf die Erfüllung dieser Anforderung angesprochen worden sei, darauf hingewiesen, dass die geforderte Anbindung in ihren Augen unzulässig sei. Ausschreibungen sind nach dem Vertrauensprinzip auszulegen (Urteile des Bundesverwaltungsgerichts B-6837/2010 und B-4366/2009 vom 15. März 2011 und vom 24. Februar 2010 E. 3.3 mit Hinweisen; Peter Galli/André Moser/Elisabeth Lang/Evelyne Clerc, Praxis des öffentlichen Beschaffungsrechts, 2. A., 1. Bd., Zürich/Basel/Genf 2007, N. 534).</w:t>
      </w:r>
    </w:p>
    <w:p>
      <w:r>
        <w:rPr>
          <w:b/>
        </w:rPr>
        <w:t>E. 1.7.2.5</w:t>
      </w:r>
    </w:p>
    <w:p>
      <w:r>
        <w:t>Basis der Argumentation der Beschwerdeführerin bildet das Verb "sollen" in folgendem Satz von Ziff. 2.5 der Ausschreibung: "Für die Schnittstelle zum SAP HCR (welches für die Personalwirtschaft in der Bundesverwaltung standardisiert ist) werden heute die Softwareprodukte exos der Firma Bridge sowie besicomm der Firma Besico AG eingesetzt, welche auch zukünftig für die Integration ins SAP genutzt werden sollen respektive die dazu notwendigen Dienstleistungen zur jeweiligen Einrichtung der Schnittstelle ins SAP HCR erbringen werden." Analysiert werden muss daher zunächst, welchen Sinngehalt dieses Verb - insbesondere im Kontext des zitierten Satzes - hat. Anschliessend ist zu prüfen, ob Bedeutung und Tragweite dieses Satzes im Rahmen der Definition des Beschaffungsgegenstandes in Ziff. 2.5 der Ausschreibung zur Zeit der Bekanntgabe derselben ohne Weiteres erkennbar waren (vgl. oben E. 1.6).</w:t>
      </w:r>
    </w:p>
    <w:p>
      <w:r>
        <w:rPr>
          <w:b/>
        </w:rPr>
        <w:t>E. 1.7.2.6</w:t>
      </w:r>
    </w:p>
    <w:p>
      <w:r>
        <w:t>Gemäss Duden online (duden.de) weist das Verb "sollen" namentlich folgende Bedeutungen auf: (a) die Aufforderung, Anweisung, den Auftrag haben, etwas Bestimmtes zu tun; (b) drückt einen Wunsch, eine Absicht, ein Vorhaben aus [...]; (c) drückt Unsicherheit, Zweifel, Ratlosigkeit aus; (d) drückt aus, dass ein bestimmtes Verhalten geboten ist oder gewünscht wird; (e) drückt aus, dass etwas Bestimmtes eigentlich zu erwarten wäre. Bedeutung (c), welche Unsicherheit, Zweifel oder Ratlosigkeit zum Ausdruck bringt, findet sich, wie der Duden ergänzt, besonders in Fragesätzen. Sie fällt hier ausser Betracht, wird in Ziff. 2.5 der Ausschreibung doch das Produkt, d.h. der Beschaffungsgegenstand, definiert. Alle anderen Bedeutungen drücken zumindest einen Wunsch, überwiegend aber eine Erwartung oder Anweisung im Sinne einer Vorgabe aus.</w:t>
      </w:r>
    </w:p>
    <w:p>
      <w:r>
        <w:rPr>
          <w:b/>
        </w:rPr>
        <w:t>E. 1.7.2.7</w:t>
      </w:r>
    </w:p>
    <w:p>
      <w:r>
        <w:t>Schon das Verb "sollen" zeigt demnach an, dass die Vergabestelle weiterhin gerade die beiden Softwareprodukte exos von Bridge und besicomm der Besico AG nutzen wollte. Diese beiden Programme wurden in der Ausschreibung explizit erwähnt, andere hingegen nicht. Ebensowenig wurde die Möglichkeit eingeräumt, (nicht namentlich genannte) äquivalente Alternativen anzubieten. Varianten wurden in Ziff. 2.8 der Ausschreibung sogar ausdrücklich ausgeschlossen. Bekräftigt wird die Beschränkung auf die beiden Softwareprodukte schliesslich durch die Zukunftsform des Prädikats in der Schlusspassage des betreffenden Satzes ("erbringen werden"), denn damit wies die Vergabestelle auf einen vorgegebenen Umstand hin. Zum gleichen Ergebnis führt im Übrigen offensichtlich auch die ebenfalls am selben Datum auf simap.ch publizierte Fassung von Ziff. 2.5 in französischer Sprache, die an Stelle des deutschen Verbes "sollen" "devront", somit unmissverständlich klar ein Futurum, verwendet: Le présent appel d'offres se fonde sur le projet de standardisation de la gestion du temps de travail réalisé par l'OFPER sur la base de la décision 2007-084-230 du CI et de la norme S002. Le DFF a décidé de centraliser la coordination et la direction de l'introduction de la gestion du temps de travail au sein du département. Le domaine Ressources (TIC) du SG-DFF a élaboré un projet dans ce but. A l'heure actuelle, divers badges et terminaux d'enregistrement du temps de travail sont utilisés au sein du DFF. Ceux-ci seront remplacés à la fin de leur cycle de vie dans le cadre de la standardisation de la gestion du temps de travail. A l'avenir, les terminaux n'enregistreront plus que les heures de présence (heures d'arrivée et de départ). Sont actuellement utilisés pour l'interface avec SAP HCR (programme standardisé pour la gestion du personnel dans l'administration fédérale) les logiciels exos de l'entreprise Bridge et besicomm de l'entreprise Besico AG; ces produits devront continuer à servir à l'intégration dans SAP ou pour fournir les prestations nécessaires à la configuration de l'interface dans SAP HCR. Les nouveaux badges devront fonctionner avec la même technologie que les badges actuellement en service. L'installation physique des terminaux d'enregistrement du temps de travail (montage, raccordement à l'électricité et au réseau) ainsi que l'apport ultérieur de pistes supplémentaires sur les badges livrés en vue de l'extension de leur utilisation se feront exclusivement par le domaine Constructions de l'OFCL.</w:t>
      </w:r>
    </w:p>
    <w:p>
      <w:r>
        <w:rPr>
          <w:b/>
        </w:rPr>
        <w:t>E. 1.7.2.8</w:t>
      </w:r>
    </w:p>
    <w:p>
      <w:r>
        <w:t>Die Beschwerdeführerin räumt in ihrer Replik vom 16. März 2012 selbst ein, dass sie, "weil" sie gewusst habe, "dass ausser der Software-Anbieterin Bridge (teilweise) und der mit Besico verbundenen Zuschlagsempfängerin Y._______ niemand die Anbindung über die beiden Produkte anbieten konnte", "dennoch" an der Ausschreibung teilgenommen habe und "in guten Treuen" habe erwarten dürfen, "dass die Ausschreibung der Terminals und Badges nicht nur eine Alibi-Funktion hatte." Mit anderen Worten lässt die Beschwerdeführerin durchblicken, dass ihr Bedeutung und Tragweite der zur Diskussion stehenden Spezifikationen des Beschaffungsgegenstandes durchaus frühzeitig bewusst waren.</w:t>
      </w:r>
    </w:p>
    <w:p>
      <w:r>
        <w:rPr>
          <w:b/>
        </w:rPr>
        <w:t>E. 1.7.3</w:t>
      </w:r>
    </w:p>
    <w:p>
      <w:r>
        <w:t>Der hier zu Diskussionen Anlass gebende Text der Ausschreibung lässt somit ohne Weiteres erkennen, dass die Anbindung der neuen Terminals an SAP nach dem Willen der Vergabestelle ausschliesslich über exos und besicomm zu erfolgen hatte. Diesbezügliche Rügen hätten daher auch von Beschwerdeführenden, die, anders als die Beschwerdeführerin als bisherige Lieferantin und Gegnerin des Standardisierungsentscheids, mit der Materie weniger vertraut wären, bereits gegen die Ausschreibung vorgebracht werden müssen (vgl. oben E. 1.6). Die sich allein auf die Unzulässigkeit dieser Anforderung stützende, gegen den Ausschluss bzw. dessen Begründung gerichtete Rüge der Beschwerdeführerin im vorliegenden Verfahren erweist sich somit als verspätet und damit verwirkt (vgl. oben E. 1.6).</w:t>
      </w:r>
    </w:p>
    <w:p>
      <w:r>
        <w:rPr>
          <w:b/>
        </w:rPr>
        <w:t>E. 1.8</w:t>
      </w:r>
    </w:p>
    <w:p>
      <w:r>
        <w:t>Auf die Eingabe der Beschwerdeführerin ist daher mangels (rechtzeitiger) Rüge nicht einzutreten (vgl. Urteile des Bundesgerichts 2C_848/2008 vom 8. Dezember 2008 und 1C_50/2007 vom 30. Mai 2007 Ziff. 3; vgl. André Grisel, Traité de droit administratif, Vol. II, Neuchâtel 1984, S. 915). Unter diesen Umständen ist auf die weiteren Rügen der Beschwerdeführerin ebensowenig einzugehen wie auf die verschiedenen noch offenen Anträge der Parteien, insbesondere diejenigen bezüglich aufschiebende Wirkung und Akteneinsicht. Sie werden mit dem vorliegenden Urteil hinfällig.</w:t>
      </w:r>
    </w:p>
    <w:p>
      <w:r>
        <w:rPr>
          <w:b/>
        </w:rPr>
        <w:t>E. 2</w:t>
      </w:r>
    </w:p>
    <w:p>
      <w:r>
        <w:t>Abschliessend ist noch über die Verfahrenskosten und allfällige Parteientschädigungen zu befinden.</w:t>
      </w:r>
    </w:p>
    <w:p>
      <w:r>
        <w:rPr>
          <w:b/>
        </w:rPr>
        <w:t>E. 2.1</w:t>
      </w:r>
    </w:p>
    <w:p>
      <w:r>
        <w:t>Die Gerichtsgebühr bestimmt sich nach Umfang und Schwierigkeit der Streitsache, Art der Prozessführung und finanzieller Lage der Parteien (Art. 63 Abs. 4bis VwVG; Art. 2 Abs. 1 des Reglementes über die Kosten und Entschädigungen vor dem Bundesverwaltungsgericht vom 21. Februar 2008, VGKE, SR 173.320.2). Für Streitigkeiten mit Vermögensinteresse legt Art. 4 VGKE den Gebührenrahmen aufgrund des Streitwertes fest. Im vorliegenden Fall ist die Gerichtsgebühr aufgrund des Streitwertes auf Fr. 2'000.- festzusetzen. Sie ist der unterliegenden Beschwerdeführerin aufzuerlegen (Art. 63 Abs. 1 VwVG).</w:t>
      </w:r>
    </w:p>
    <w:p>
      <w:r>
        <w:rPr>
          <w:b/>
        </w:rPr>
        <w:t>E. 2.2</w:t>
      </w:r>
    </w:p>
    <w:p>
      <w:r>
        <w:t>Die Beschwerdeinstanz kann der ganz oder teilweise obsiegenden Partei von Amtes wegen oder auf Begehren eine Entschädigung für ihr erwachsene notwendige und verhältnismässig hohe Kosten zusprechen (Art. 64 Abs. 1 VwVG). Als Bundesbehörde hat die obsiegende Vergabestelle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