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B-4198/2009 vom 26. Januar 2010</w:t>
      </w:r>
    </w:p>
    <w:p>
      <w:r>
        <w:t>Bundesverwaltungsgericht, 2010-01-26, FR</w:t>
      </w:r>
    </w:p>
    <w:p>
      <w:r>
        <w:rPr>
          <w:b/>
        </w:rPr>
        <w:t xml:space="preserve">Quelle: </w:t>
      </w:r>
      <w:r>
        <w:t>https://mcp.opencaselaw.ch/entscheid/bvger_B-4198_2009</w:t>
      </w:r>
    </w:p>
    <w:p>
      <w:r>
        <w:t>FR: TAF B-4198/2009 du 26 janvier 2010</w:t>
      </w:r>
    </w:p>
    <w:p>
      <w:r>
        <w:t>IT: TAF B-4198/2009 del 26 gennaio 2010</w:t>
      </w:r>
    </w:p>
    <w:p>
      <w:pPr>
        <w:pStyle w:val="Heading2"/>
      </w:pPr>
      <w:r>
        <w:t>Regeste</w:t>
      </w:r>
    </w:p>
    <w:p>
      <w:r>
        <w:t>Encouragement de la recherche en général</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L'art. 13 al. 4 de la loi fédérale du 7 octobre 1983 sur la recherche (LR, RS 420.1) prévoit que la procédure de recours est régie par les dispositions générales de la procédure fédérale. L'acte attaqué est une décision au sens de l'art. 5 al. 1 let. c de la loi fédérale du 20 décembre 1968 sur la procédure administrative (PA, RS 172.021) qui émane d'une autorité au sens de l'art. 33 let. h de la loi du 17 juin 2005 sur le Tribunal administratif fédéral (LTAF, RS 173.32). Aucune des clauses d'exception de l'art. 32 LTAF n'étant par ailleurs réalisée, le Tribunal administratif fédéral est donc compétent, en vertu de l'art. 31 LTAF, pour statuer sur le présent recours (voir également l'art. 31 du règlement du FNS du 14 décembre 2007 relatif aux octrois de subsides, approuvé le 13 février 2008 par le Conseil fédéral [ci-après : le règlement relatif aux octrois de subsides]).</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 Les dispositions relatives au délai de recours, à la forme et au contenu du mémoire de recours (art. 50 et 52 PA), ainsi que les autres conditions de recevabilité (art. 44 ss PA) sont respectées. Le recours est donc recevable.</w:t>
      </w:r>
    </w:p>
    <w:p>
      <w:r>
        <w:rPr>
          <w:b/>
        </w:rPr>
        <w:t>E. 2</w:t>
      </w:r>
    </w:p>
    <w:p>
      <w:r>
        <w:t>En application de l'art. 13 al. 2 LR, le requérant peut former un recours pour violation du droit fédéral, y compris l'excès et l'abus du pouvoir d'appréciation, ainsi que pour constatation inexacte ou incomplète des faits pertinents mais non pour inopportunité de la décision attaquée. Dans la mesure où le recourant, comme en l'espèce, conteste l'interprétation et l'application de prescriptions légales ou s'il se plaint de vices de procédure, l'autorité de recours doit examiner les griefs soulevés avec pleine cognition, sous peine de déni de justice formel (ATAF 2007/37 consid. 2.2 et les réf. cit.).</w:t>
      </w:r>
    </w:p>
    <w:p>
      <w:r>
        <w:rPr>
          <w:b/>
        </w:rPr>
        <w:t>E. 3</w:t>
      </w:r>
    </w:p>
    <w:p>
      <w:r>
        <w:t>Aux termes de l'art. 6 al. 1 LR, la Confédération encourage la recherche selon la présente loi et selon des lois spéciales notamment en allouant des subventions aux institutions chargées d'encourager la recherche (let. d). En vertu de l'art. 8 let. a LR, le FNS utilise les subventions qui lui sont allouées par la Confédération notamment pour soutenir des projets de recherche. Dans l'exercice des tâches qui lui sont dévolues, le FNS veille en particulier à la qualité scientifique de la recherche, à la diversité des opinions et des méthodes scientifiques, au maintien d'un lien étroit entre l'enseignement et la recherche ainsi qu'à un rapport judicieux entre la recherche fondamentale et la recherche appliquée correspondant à ses tâches (art. 2 let. a à d). Les institutions chargées d'encourager la recherche fixent la procédure régissant les décisions relatives aux subsides ; cette procédure doit répondre aux exigences des art. 10 et 26 à 38 (art. 13 al. 1 LR). Ainsi, les statuts et règlements du FNS - qui, conformément à l'art. 7 al. 2 LR, doivent être approuvés par le Conseil fédéral lorsqu'ils règlent des tâches pour lesquelles les moyens de la Confédération sont utilisés - arrêtent de manière détaillée les conditions d'octroi des subsides. Plus précisément, ces conditions sont énumérées dans le règlement relatif aux octrois de subsides ainsi que, s'agissant du programme Ambizione, dans le règlement relatif à l'octroi de subsides Ambizione du 17 octobre 2007 (ci-après : le règlement Ambizione) qui est le règlement d'exécution édicté par le Conseil national de la recherche, organe scientifique du FNS (art. 21 des statuts du FNS), en application des art. 21 et 46 du règlement relatif aux octrois de subsides. Le FNS attribue des subsides Ambizione à des chercheurs et chercheuses souhaitant effectuer des recherches personnelles dans une haute école en Suisse (art. 1 al. 1 du règlement Ambizione). Conformément à l'art. 3 al. 1 du règlement Ambizione, dans sa version du 2 septembre 2008 applicable au présent litige (cf. arrêt du Tribunal administratif fédéral B-2226/2006 consid. 3 ; ATF 133 III 105 consid. 2.1.1), sont habilité-e-s à soumettre une requête Ambizione les chercheuses et chercheurs de toutes les disciplines qui satisfont aux conditions suivantes : elles/ils possèdent un doctorat ; exceptionnellement une activité pluriannuelle dans la recherche, attestée par des publications de haut niveau et équivalente à un travail de doctorat peut exempter de ce grade (let. a) ; ont acquis ce grade depuis cinq ans au plus au moment de la clôture des inscriptions. Dans des cas justifiés, une exemption de durée peut être accordée si les candidat-e-s ont subi des retards inévitables dans leur carrière scientifique, notamment en raison de charges d'assistance familiale (let. b). Il sied en outre de relever que, depuis le 1er novembre 2009, cette disposition prévoit expressément que la date de l'examen, respectivement de la soutenance, est déterminante.</w:t>
      </w:r>
    </w:p>
    <w:p>
      <w:r>
        <w:rPr>
          <w:b/>
        </w:rPr>
        <w:t>E. 4</w:t>
      </w:r>
    </w:p>
    <w:p>
      <w:r>
        <w:t>En l'espèce, le motif principal du rejet de la requête du recourant réside dans le fait qu'il aurait, au moment de la clôture des inscriptions, acquis son doctorat depuis plus de cinq ans. Dans ses mémoires de recours et de réplique, le recourant fait valoir que la date déterminante est celle de la délivrance du diplôme de doctorat ; le FNS se fonde en revanche sur la date de la soutenance de la thèse.</w:t>
      </w:r>
    </w:p>
    <w:p>
      <w:r>
        <w:rPr>
          <w:b/>
        </w:rPr>
        <w:t>E. 4.1</w:t>
      </w:r>
    </w:p>
    <w:p>
      <w:r>
        <w:t>Le recourant fonde son argumentation sur le règlement sur l'octroi du doctorat de la Faculté de Y._______ de l'Université de A._______, selon lequel, en substance, le diplôme de doctorat est remis au nouveau docteur lorsque les exemplaires de la thèse imprimée ont été déposés, le nouveau docteur ne pouvant porter le titre de docteur qu'après réception du diplôme. Aux yeux du recourant, il serait matériellement justifié de considérer comme point de départ du délai de cinq ans la date de la délivrance du grade après publication puisque la préparation de la publication prend un temps considérable au cours duquel celui qui a soutenu sa thèse ne peut pas se consacrer pleinement à faire carrière. Il déclare que, dès lors, l'égalité de traitement requiert que ce délai de cinq ans ne serve à écarter que ceux qui ont pu faire pleinement usage d'un titre de docteur pendant cinq ans. Or, le recourant n'aurait pu le faire que depuis juin 2005.</w:t>
      </w:r>
    </w:p>
    <w:p>
      <w:r>
        <w:rPr>
          <w:b/>
        </w:rPr>
        <w:t>E. 4.2</w:t>
      </w:r>
    </w:p>
    <w:p>
      <w:r>
        <w:t>L'art. 3 al. 1 let. a du règlement Ambizione indique que les candidats doivent posséder un doctorat ; il ne contient toutefois aucune précision sur le moment où celui-ci est considéré comme acquis. Il y a lieu de rappeler que le subside Ambizione s'adresse aux chercheurs et chercheuses de toutes les disciplines (art. 3 al. 1 du règlement Ambizione), donc indépendamment de la faculté dans laquelle le doctorat a été obtenu. La conférence des recteurs des universités suisses définit le doctorat comme suit : "Le doctorat est le point de jonction entre la formation et la recherche et se distingue ainsi des degrés de Bachelor et de Master basés essentiellement sur l'enseignement. L'acquisition de compétences scientifiques par une contribution personnelle et originale à la recherche est l'élément central du doctorat. Parallèlement au développement de compétences scientifiques, l'acquisition de connaissances et de compétences scientifiques disciplinaires, méthodologiques et transversales, ainsi que la socialisation scientifique et la constitution de réseaux constituent des objectifs clés du doctorat" (http://www.crus.ch/information-programmes/etudier-en-suisse/doctorat-releve/doctorat.html?L=1 visité le 18 janvier 2010). La thèse de doctorat, elle, peut se définir comme un travail personnel et original de recherche scientifique (pour les définitions, voir p. ex. art. 6 du règlement du 17 décembre 1996 sur l'octroi du doctorat en théologie de l'Université de Fribourg ; art. 6 du règlement du 18 décembre 1990 de doctorat de la Faculté des lettres de l'Université de Fribourg ; art. 61 du règlement du 6 juillet 2009 de Faculté de la Faculté de théologie et de science des religions de l'Université de Lausanne). L'examen des règlements relatifs au doctorat de diverses facultés des Universités suisses fait apparaître que les modalités du décernement du titre de docteur divergent d'une faculté à l'autre. On peut toutefois remarquer que lesdits règlements opèrent la même distinction entre, d'une part, la réussite du doctorat - soit la soutenance de la thèse avec succès - et, d'autre part, l'octroi formel du titre de docteur lequel intervient généralement après les dernières formalités administratives (impression de la thèse, dépôt du nombre d'exemplaires requis ou remise du diplôme au nouveau promu) et correspond au moment à partir duquel dit titre peut être porté. Si certaines facultés prévoient que le titre de Doctor designatus ou designata peut déjà être porté après la soutenance de la thèse avec succès (cf. p. ex. art. 10 et 14 du règlement du 17 décembre 1996 sur l'octroi du doctorat de théologie de l'Université de Fribourg ; art. 21 al. 2 et 27 du règlement du 18 décembre 1990 de doctorat de la Faculté des lettres de l'Université de Fribourg ; art. 35 al. 3 de l'ordonnance du 25 mai 2009 sur l'octroi du doctorat de la Faculté de droit de l'Université de Zurich), les autres ne précisent pas quel est le statut du candidat entre la soutenance et le droit de porter le titre de docteur. Il ressort de ce qui précède que la soutenance de la thèse n'est généralement pas la dernière étape dans le processus d'octroi du titre de docteur ; en outre, une thèse de doctorat est appelée à être diffusée par la voie de la publication afin que les connaissances scientifiques qu'on y trouve développées servent à la progression des acquis dans un domaine particulier. Il n'en demeure pas moins que le travail de recherche scientifique du candidat prend fin avec la soutenance de sa thèse et que la décision de la faculté d'accepter la thèse est prise à la suite de dite soutenance. Les étapes suivantes ne sont plus en relation avec l'acquisition de compétences de recherche mais relèvent de conditions organisationnelles qui dépendent des circonstances ; à titre d'exemple, la publication est soumise à des délais qui peuvent varier selon la maison d'édition ou selon que le promu a pu opter pour la forme électronique. Cela est valable pour tous les doctorats, indépendamment des prescriptions particulières de la faculté concernée. Il s'ensuit que, même si les règlements des diverses facultés relatifs à l'octroi du doctorat divergent sur les modalités de remise du titre, il faut admettre qu'un doctorat est réussi lorsque la thèse est acceptée par la faculté - quelle qu'elle soit - c'est-à-dire au terme de la soutenance. L'interprétation de la notion d'obtention du doctorat retenue par le FNS n'est ainsi pas critiquable.</w:t>
      </w:r>
    </w:p>
    <w:p>
      <w:r>
        <w:rPr>
          <w:b/>
        </w:rPr>
        <w:t>E. 4.3</w:t>
      </w:r>
    </w:p>
    <w:p>
      <w:r>
        <w:t>Il convient au surplus de relever que d'autres règlements du FNS exigent - à l'instar du règlement Ambizione - la possession d'un doctorat et fixent un délai à respecter à partir de son obtention. C'est notamment le cas du subside PROSPER (art. 3 du règlement du 25 novembre 2008 pour l'octroi de subsides PROSPER), des bourses de recherche pour chercheuses et chercheurs débutants (art. 6 du règlement du 16 octobre 2001 relatif à l'octroi de bourses de recherche pour chercheuses et chercheurs débutants) et avancés (art. 6 du règlement du 16 octobre 2001 relatif à l'octroi de bourses de recherche pour chercheuses et chercheurs avancés). La terminologie utilisée étant identique à celle du règlement Ambizione, il convient d'admettre que l'interprétation qu'en fait le FNS l'est également. Dans un arrêt du 23 juin 2003 relatif à une bourse pour chercheurs débutants, l'ancienne Commission de recours en matière d'encouragement à la recherche (CRER) a déjà constaté que le moment déterminant pour l'obtention du doctorat était celui de l'acceptation de la thèse par la faculté concernée (arrêt 05/2002). Il apparaît ainsi que l'interprétation de la notion d'obtention du doctorat n'est pas récente et qu'elle correspond bien à la pratique dont se prévaut le FNS. Au demeurant, il ressort aussi bien des documents relatifs à la demande de subside objet de la présente procédure que de deux précédentes requêtes, datant des 4 mai 2006 et 30 avril 2008 et concernant des postes de professeur boursier, que le recourant n'a pas compris l'art. 3 al. 1 du règlement Ambizione d'une autre manière. Dès lors, ses allégations selon lesquelles l'année 2003 indiquée dans sa demande serait une erreur ne sauraient être admises. Dite date a été indiquée sur tous les documents portés au dossier - notamment sur les formulaires idoines remplis à l'occasion des requêtes de subside, soit après 2005 - alors que l'année 2005 invoquée par le recourant dans le cadre de la présente procédure n'apparaît à aucun endroit. Quoi qu'il en soit, il appartenait au recourant de vérifier que les informations figurant sur sa demande étaient correctes.</w:t>
      </w:r>
    </w:p>
    <w:p>
      <w:r>
        <w:rPr>
          <w:b/>
        </w:rPr>
        <w:t>E. 4.4</w:t>
      </w:r>
    </w:p>
    <w:p>
      <w:r>
        <w:t>Au regard de ce qui précède, il y a lieu d'admettre que l'interprétation du FNS relative à la notion de doctorat n'est non seulement pas critiquable mais qu'elle correspond également à sa pratique constante. Le grief du recourant apparaît dès lors mal fondé.</w:t>
      </w:r>
    </w:p>
    <w:p>
      <w:r>
        <w:rPr>
          <w:b/>
        </w:rPr>
        <w:t>E. 5</w:t>
      </w:r>
    </w:p>
    <w:p>
      <w:r>
        <w:t>Dans son mémoire de recours, le recourant estime remplir les conditions d'une exemption de durée telle que prévue par l'art. 3 al. 1 let. b du règlement Ambizione, invoquant ses charges familiales et son séjour à l'étranger entre 2003 et 2008 qui ont occasionné des retards inévitables dans sa carrière scientifique. Il est toutefois constant qu'il n'a procédé à aucune demande en ce sens dans sa requête de subside du 10 février 2009. Confirmant avoir rendu sa décision sur la base de tous les éléments à sa connaissance lorsqu'elle a statué, l'autorité inférieure reproche au recourant une violation de ses obligations de collaborer et de motiver ; sur cette base, elle estime que cette question n'a pas à être examinée dans le cadre de la présente procédure.</w:t>
      </w:r>
    </w:p>
    <w:p>
      <w:r>
        <w:rPr>
          <w:b/>
        </w:rPr>
        <w:t>E. 5.1</w:t>
      </w:r>
    </w:p>
    <w:p>
      <w:r>
        <w:t>En procédure administrative, l'objet du litige correspond à l'objet de la décision attaquée dans la mesure où il est contesté devant l'autorité de recours. La contestation ne saurait excéder l'objet de la décision entreprise, soit les prétentions ou les rapports juridiques sur lesquels l'autorité inférieure s'est prononcée ou aurait dû se prononcer (cf. Jurisprudence des autorités administratives de la Confédération [JAAC] 63.75 consid. 2).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(voir : Benoît Bovay, Procédure administrative, Berne 2000, p. 390 s. ; Alfred Kölz/Isabelle Häner, Verwaltungsverfahren und Verwaltungsrechtspflege des Bundes, 2e éd., Zurich 1998, p. 149). C'est pourquoi, dans ses conclusions, le recourant ne peut en principe que réduire l'objet du litige - en renonçant à remettre en cause certains points de la décision entreprise - et non pas l'élargir. Exceptionnellement, de nouvelles conclusions peuvent être admises devant l'autorité de recours, à la condition qu'elles soient en rapport très étroit avec l'objet du litige traité et que l'administration ait eu l'occasion de se prononcer à leur sujet au cours de la procédure (arrêt du Tribunal administratif fédéral B-4962/2007 du 28 février 2008 consid. 2 et les réf. cit.). En l'espèce, le FNS a rejeté la demande de subvention du recourant au motif que ce dernier ne remplissait pas l'une des conditions formelles puisqu'il avait acquis son doctorat depuis plus de cinq ans au moment de la clôture des inscriptions. Il a cependant également relevé que le Conseil de fondation avait jugé qu'une exception à cette disposition n'était pas justifiée dans le cas présent. Ce faisant, l'autorité inférieure a thématisé - sans toutefois la motiver - la question des éventuelles exceptions au nombre desquelles il faut compter l'exemption de durée prévue à l'art. 3 al. 1 let. b du règlement Ambizione et ce sans prendre les éventuelles mesures d'instruction qu'aurait pu commander cet examen.</w:t>
      </w:r>
    </w:p>
    <w:p>
      <w:r>
        <w:rPr>
          <w:b/>
        </w:rPr>
        <w:t>E. 5.2</w:t>
      </w:r>
    </w:p>
    <w:p>
      <w:r>
        <w:t>Le devoir pour l'autorité de motiver sa décision afin que le destinataire puisse la comprendre, la contester utilement s'il y a lieu et que l'autorité de recours puisse exercer son contrôle a été déduit de la garantie du droit d'être entendu consacré à l'art. 29 al. 2 de la Constitution fédérale de la Confédération suisse du 18 avril 1999 [Cst., RS 101].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(ATF 130 II 530 consid. 4.3, ATF 129 I 232 consid. 3.2, ATF 126 I 97 consid. 2b ; arrêt du Tribunal administratif fédéral B-2318/2006 du 23 juin 2008 consid. 5.2). Dans le cas d'espèce, le refus d'admettre une exception n'est pas motivé. Force est dès lors de constater que la motivation de l'autorité inférieure s'avère à tout le moins insuffisante sur ce point.</w:t>
      </w:r>
    </w:p>
    <w:p>
      <w:r>
        <w:rPr>
          <w:b/>
        </w:rPr>
        <w:t>E. 5.3</w:t>
      </w:r>
    </w:p>
    <w:p>
      <w:r>
        <w:t>Le droit d'être entendu est une garantie constitutionnelle de caractère formel, dont la violation entraîne en principe l'annulation de la décision attaquée, indépendamment des chances de succès du recours sur le fond (ATF 126 V 130 consid. 2b, ATF 125 I 113 consid. 3). Une telle violation peut cependant, à titre exceptionnel (cf. ATF 126 I 68 consid. 2), être considérée comme guérie lorsque la cognition de l'instance de recours n'est pas limitée par rapport à celle de l'instance inférieure et qu'il n'en résulte aucun préjudice pour le recourant (ATF 126 V 130 consid. 2b, ATF 124 II 132 consid. 2d ; arrêt du Tribunal administratif fédéral B-1621/2008 du 3 juillet 2008 consid. 6). En l'espèce, l'autorité inférieure, bien qu'elle en ait eu l'occasion tant dans sa réponse que sa duplique, ne s'est pas prononcée sur le point de savoir si le recourant pouvait être mis au bénéfice d'une exemption de durée. La violation du droit d'être entendu du recourant précédemment établie ne peut être guérie dans le cadre de la présente procédure de recours ; en effet, si tel était le cas, le recourant subirait un préjudice dès lors qu'il se verrait privé d'une instance de recours. Pour ce motif, il se justifie d'annuler la décision attaquée et de renvoyer l'affaire au FNS afin qu'il statue sur l'exemption de durée.</w:t>
      </w:r>
    </w:p>
    <w:p>
      <w:r>
        <w:rPr>
          <w:b/>
        </w:rPr>
        <w:t>E. 6</w:t>
      </w:r>
    </w:p>
    <w:p>
      <w:r>
        <w:t>Il résulte de ce qui précède que le recourant n'obtient que partiellement gain de cause, dans la seule mesure de sa conclusion subsidiaire. Les frais de procédure mis à sa charge, qui comprennent l'émolument judiciaire et les débours, doivent en conséquence être réduits de moitié et fixés à Fr. 350.- (art. 63 al. 1 PA et art. 1 al. 1 du règlement du 21 février 2008 concernant les frais, dépens et indemnités fixés par le Tribunal administratif fédéral [FITAF, RS 173.320.2]). Ils sont prélevés sur l'avance de frais de Fr. 700.- déjà versée. Le solde est restitué au recourant.</w:t>
      </w:r>
    </w:p>
    <w:p>
      <w:r>
        <w:rPr>
          <w:b/>
        </w:rPr>
        <w:t>E. 7</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Lorsqu'elle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Les parties qui ont droit aux dépens doivent faire parvenir au Tribunal, avant le prononcé, un décompte détaillé de leurs prestations, à défaut duquel le Tribunal fixe l'indemnité sur la base du dossier (art. 14 al. 1 et 2 FITAF). En l'espèce, la défense du recourant a nécessité les services d'un avocat dûment mandaté par procuration à cet effet et a impliqué deux échanges d'écritures. Aucun décompte n'a été transmis au Tribunal de céans. En tenant compte du barème précité et de l'admission partielle du recours, une indemnité réduite fixée à Fr. 1'500.-, TVA comprise, est équitablement allouée au recourant à titre de dépens pour la procédure de recours. Ces dépens sont mis à la charge de l'autorité inférieure (art. 64 al. 2 PA).</w:t>
      </w:r>
    </w:p>
    <w:p>
      <w:r>
        <w:rPr>
          <w:b/>
        </w:rPr>
        <w:t>E. 8</w:t>
      </w:r>
    </w:p>
    <w:p>
      <w:r>
        <w:t>Le présent arrêt est définitif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