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B-4159/2009 vom 25. November 2009</w:t>
      </w:r>
    </w:p>
    <w:p>
      <w:r>
        <w:t>Bundesverwaltungsgericht, 2009-11-25, DE</w:t>
      </w:r>
    </w:p>
    <w:p>
      <w:r>
        <w:rPr>
          <w:b/>
        </w:rPr>
        <w:t xml:space="preserve">Quelle: </w:t>
      </w:r>
      <w:r>
        <w:t>https://mcp.opencaselaw.ch/entscheid/bvger_B-4159_2009</w:t>
      </w:r>
    </w:p>
    <w:p>
      <w:r>
        <w:t>FR: TAF B-4159/2009 du 25 novembre 2009</w:t>
      </w:r>
    </w:p>
    <w:p>
      <w:r>
        <w:t>IT: TAF B-4159/2009 del 25 novembre 2009</w:t>
      </w:r>
    </w:p>
    <w:p>
      <w:pPr>
        <w:pStyle w:val="Heading2"/>
      </w:pPr>
      <w:r>
        <w:t>Regeste</w:t>
      </w:r>
    </w:p>
    <w:p>
      <w:r>
        <w:t>Widerspruchssachen</w:t>
      </w:r>
    </w:p>
    <w:p>
      <w:pPr>
        <w:pStyle w:val="Heading2"/>
      </w:pPr>
      <w:r>
        <w:t>Erwägungen</w:t>
      </w:r>
    </w:p>
    <w:p>
      <w:r>
        <w:rPr>
          <w:b/>
        </w:rPr>
        <w:t>E. 1</w:t>
      </w:r>
    </w:p>
    <w:p>
      <w:r>
        <w:t>Das Bundesverwaltungsgericht ist gemäss Art. 31, 32 und 33 Bst. d des Bundesgesetzes vom 17. Juni 2005 über das Bundesverwaltungsgericht [Verwaltungsgerichtsgesetz,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2.1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w:t>
      </w:r>
    </w:p>
    <w:p>
      <w:r>
        <w:rPr>
          <w:b/>
        </w:rPr>
        <w:t>E. 2.3</w:t>
      </w:r>
    </w:p>
    <w:p>
      <w:r>
        <w:t>Die Markenähnlichkeit beurteilt sich nach dem Gesamteindruck, den die Marken in der Erinnerung der angesprochenen Verkehrskreise hinterlassen (BGE 121 III 377 E. 2a - Boss / Boks; EUGEN MARBACH, Markenrecht, in: Roland von Büren / Lucas David [Hrsg.], Schweizerisches Immaterialgüter- und Wettbewerbsrecht, Bd. III/1, Basel 2009 [hiernach: Marbach, SIWR III/1], N. 864; LUCAS DAVID, Kommentar zum Markenschutzgesetz, in: Kommentar zum schweizerischen Privatrecht, Markenschutzgesetz / Muster- und Modellgesetz, Basel 1999 [hiernach: David, Kommentar MSchG], Art. 3 N. 11 und 15; CHRISTOPH WILLI, Markenschutzgesetz, Kommentar zum schweizerischen Markenrecht unter Berücksichtigung des europäischen und internationalen Markenrechts, Zürich 2002, Art. 3 N. 63 und 67).</w:t>
      </w:r>
    </w:p>
    <w:p>
      <w:r>
        <w:rPr>
          <w:b/>
        </w:rPr>
        <w:t>E. 2.4</w:t>
      </w:r>
    </w:p>
    <w:p>
      <w:r>
        <w:t>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 des Bundesverwaltungsgerichts vom 19. Dezember 2007 [B-7500/2006] E. 6.4 - Diva Cravatte; Entscheid der Rekurskommission für geistiges Eigentum [RKGE] in: Zeitschrift für Immaterialgüter-, Informations- und Wettbewerbsrecht [sic!] 2005 S. 807 E. 8 - DVT Technisches Fernsehen [fig.] / DVT; WILLI, a.a.O., Art. 3 N. 143). Bei reinen Wortmarken ist der Wortklang, das Schriftbild, und gegebenenfalls der Sinngehalt massgebend (BGE 127 III 160 E. 2b/cc - Securitas; BGE 121 III 377 E. 2b - Boss / Boks). Dabei genügt es für die Annahme der Ähnlichkeit, wenn diese in Bezug auf nur eines dieser Kriterien bejaht wird (MARBACH, SIWR III/1, N. 875; RKGE in sic! 2006 S. 761 E. 4 - McDONALD'S / McLake). Der Wortklang wird im Wesentlichen durch die Silbenzahl, die Aussprachekadenz und die Aufeinanderfolge der Vokale bestimmt, das Erscheinungsbild durch die Wortlänge und die optische Wirkung der Buchstaben (BGE 122 III 382 E. 5a - Kamillosan; BGE 119 II 473 E. 2c - Radion; RKGE in sic! 2002 S. 101 E. 6 - Mikron [fig.] / Mikromat [fig.]).</w:t>
      </w:r>
    </w:p>
    <w:p>
      <w:r>
        <w:rPr>
          <w:b/>
        </w:rPr>
        <w:t>E. 3</w:t>
      </w:r>
    </w:p>
    <w:p>
      <w:r>
        <w:t>In einem ersten Schritt ist zu überprüfen, ob die beanspruchten Waren der sich gegenüberstehenden Marken aus Sicht der Abnehmerkreise gleichartig sind.</w:t>
      </w:r>
    </w:p>
    <w:p>
      <w:r>
        <w:rPr>
          <w:b/>
        </w:rPr>
        <w:t>E. 3.1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(DAVID, Kommentar MSchG, Art. 3 N. 35; RKGE in sic! 2003 S. 709 E. 6 - Targa / Targa [fig.]; RKGE in sic! 2002, S. 169 E. 3 - Smirnoff [fig.] / Smirnov [fig.]). Für die Warengleichartigkeit sprechen unter anderem gleiche Herstellungsstätten, gleiches fabrikationsspezifisches Know-how, ähnliche Vertriebskanäle, ähnliche Abnehmerkreise oder das Vorliegen eines ähnlichen Verwendungszweckes (Urteil des Bundesverwaltungsgerichts B-3508/2008 vom 9. Februar 2009 E. 7.1 - KaSa K97 [fig.] / biocasa [fig.], mit Verweis auf RKGE in sic! 2002, S. 169 E. 3 - Smirnoff [fig.] / Smirnov [fig.]).</w:t>
      </w:r>
    </w:p>
    <w:p>
      <w:r>
        <w:rPr>
          <w:b/>
        </w:rPr>
        <w:t>E. 3.2</w:t>
      </w:r>
    </w:p>
    <w:p>
      <w:r>
        <w:t>Sowohl die Widerspruchsmarke als auch die angefochtene Marke werden für alkoholische Getränke (ausgenommen Biere) in Klasse 33 beansprucht, die angefochtene Marke zusätzlich, soweit hier interessierend, für Biere (Klasse 32). Hinsichtlich der alkoholischen Getränke besteht offensichtlich Warenidentität. Zudem ist unbestritten, dass alkoholische Getränke (Klasse 33) einerseits und Biere (Klasse 32) andererseits gleichartig sind (vgl. RKGE 2005 S. 129 E. 7 - Vismara [fig.] / Vismara [fig.]; vgl. auch Urteil des Bundesverwaltungsgerichts B-1085/2008 vom 13. November 2008 E. 5.2 - Red Bull / Stierbräu). Als Zwischenergebnis ist festzuhalten, dass die beanspruchten Waren der sich gegenüber stehenden Marken identisch respektive gleichartig sind. Angesichts dieses Ergebnisses ist in Bezug auf den Zeichenabstand ein strenger Massstab anzulegen (vgl. E. 2.2).</w:t>
      </w:r>
    </w:p>
    <w:p>
      <w:r>
        <w:rPr>
          <w:b/>
        </w:rPr>
        <w:t>E. 4</w:t>
      </w:r>
    </w:p>
    <w:p>
      <w:r>
        <w:t>Die Widerspruchsmarke ist eine Wort-/Bildmarke. Sie besteht aus dem Wortelement "EFE", welches in einer stilisierten Schrift geschrieben ist. Die beiden letzten Buchstaben sind in derselben stilisierten Art unterstrichen. Der mittlere Buchstabe "F" überragt zudem das vorangehende sowie das nachstehende "E" in der Höhe um etwa einen Viertel. Die angefochtene Marke ist eine reine Wortmarke mit dem Wortelement "EVE".</w:t>
      </w:r>
    </w:p>
    <w:p>
      <w:r>
        <w:rPr>
          <w:b/>
        </w:rPr>
        <w:t>E. 4.1</w:t>
      </w:r>
    </w:p>
    <w:p>
      <w:r>
        <w:t>Das Wortelement der Widerspruchsmarke sowie die angefochtene Marke sind gleich lang; sie bestehen aus jeweils drei Buchstaben, wobei sie im ersten (E) und im letzten Buchstaben (E) übereinstimmen. Insofern unterscheiden sie sich lediglich im mittleren Buchstaben. Der mittlere Buchstabe "F" der Widerspruchsmarke ist zudem wie erwähnt grösser als der erste und letzte Buchstabe gestaltet und unterscheidet sich somit optisch vom mittleren Buchstaben "V" der angefochtenen Marke. Die Widerspruchsmarke wird sowohl im Deutschen als auch im Französischen "e - fe" ausgesprochen. Wird die angefochtene Marke deutsch ausgesprochen (e - ve), weisen die Vergleichszeichen sowohl dieselbe Silbenzahl als auch dieselbe Vokalfolge (E - E) auf. Das Wortelement der Widerspruchsmarke hat keinen erkennbaren Sinngehalt (vgl. auch Online-Wörterbuch Türkisch-Deutsch-Englisch, www.mydictionary.dyndnsorg/dictionary/tr_de, Stichwort "efe"). Die angefochtene Marke kann zwei Bedeutungen haben: Einerseits handelt es sich um einen weiblichen Vornamen, nämlich die französische oder englische Version von "Eva" (LANGENSCHEIDT Handwörterbuch Englisch, Berlin / München / Wien / Zürich / New York 2005, S. 204; LANGENSCHEIDT Handwörterbuch Französisch, Berlin / München / Wien / Zürich / New York 2006, S. 285). Andererseits bedeutet "eve" auf englisch "Abend" (poetisch) respektive "Vorabend / -tag (eines Festes)" (LANGENSCHEIDT Handwörterbuch Englisch, a.a.O., S. 204). Englisch wird die angefochtene Marke "i:v" ausgesprochen, französisch - entgegen der Auffassung der Vorinstanz - "ev". So ausgesprochen unterscheidet sich die angegriffene Marke nun in klanglicher Hinsicht von der Widerspruchsmarke: Die Silbenzahl verringert sich (eine statt zwei), der Konsonant wird weicher ausgesprochen (wie in "ouvrir") und bei englischer Aussprache verändert sich zudem die Vokalfolge (I statt E - E).</w:t>
      </w:r>
    </w:p>
    <w:p>
      <w:r>
        <w:rPr>
          <w:b/>
        </w:rPr>
        <w:t>E. 4.2</w:t>
      </w:r>
    </w:p>
    <w:p>
      <w:r>
        <w:t>Als Zwischenergebnis ist festzuhalten, dass die Vergleichszeichen sowohl in visueller als auch (insbesondere bei deutscher Aussprache) klanglicher Hinsicht Ähnlichkeiten aufweisen. Beim Sinngehalt ist dagegen keine Ähnlichkeit festzustellen.</w:t>
      </w:r>
    </w:p>
    <w:p>
      <w:r>
        <w:rPr>
          <w:b/>
        </w:rPr>
        <w:t>E. 5</w:t>
      </w:r>
    </w:p>
    <w:p>
      <w:r>
        <w:t>Es ist nun in einem wertenden Gesamtblick zu entscheiden, ob eine Verwechslungsgefahr besteht (Art. 3 Abs. 1 Bst. c MSchG).</w:t>
      </w:r>
    </w:p>
    <w:p>
      <w:r>
        <w:rPr>
          <w:b/>
        </w:rPr>
        <w:t>E. 5.1</w:t>
      </w:r>
    </w:p>
    <w:p>
      <w:r>
        <w:t>Zunächst ist der Schutzumfang der Widerspruchsmarke zu bestimmen. Dieser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 Die Widerspruchsmarke besteht aus lediglich drei Buchstaben und stellt somit ein Kurzzeichen dar. Kurzzeichen verfügen auf Grund ihrer geringeren Schutzwürdigkeit über einen beschränkten Schutzumfang. Die Schutzwürdigkeit kann indessen durch eine eigenwillige oder originelle Gestaltung (Schrift, Farbe, Graphik etc.) erhöht werden (WILLI, a.a.O., Art. 3, N. 147). Da das Widerspruchszeichen grafisch gestaltet ist und zudem über keinen erkennbaren Sinngehalt verfügt, erhöht sich dessen Kennzeichnungskraft, weshalb von einem normalen Schutzumfang auszugehen ist.</w:t>
      </w:r>
    </w:p>
    <w:p>
      <w:r>
        <w:rPr>
          <w:b/>
        </w:rPr>
        <w:t>E. 5.2</w:t>
      </w:r>
    </w:p>
    <w:p>
      <w:r>
        <w:t>Kurze Wörter werden akustisch und optisch leichter erfasst und prägen sich leichter ein als längere Wörter. Daher werden bei kurzen Zeichen auch Abweichungen schneller erkannt, so dass vergleichsweise geringfügige Modifikationen bereits einen genügenden Abstand gewährleisten können (MARBACH, SIWR III/1, N. 895 und WILLI, a.a.O., Art. 3, N. 147, je mit Verweis auf BGE 121 III 377 E. 2b - Boss / Boks; Urteil des Bundesverwaltungsgerichts B-3268/2007 vom 25. Januar 2008 E. 4.3.1 - MBR / MR [fig.], mit Verweis auf RKGE in sic! 2005 S. 476 E. 5 - SMI / RSMI; RKGE in sic! 2006 S. 97 E. 3 - Moët / Met [fig.]). Ob zwischen zwei Zeichen, die aus je drei Buchstaben, davon zwei gleichen, bestehen, eine Verwechslungsgefahr besteht, hängt von den Umständen des Einzelfalls ab (vgl. etwa Massnahmeentscheid des Gerichtskreises VIII Bern-Laupen vom 11. Juni 2003, in sic! 2004 S. 31 E. 3.2 ff. - FMH / FNH, und RKGE in sic! 2002 S. 104 E. 6 - ran / Ram [fig.]). Die Vergleichszeichen unterscheiden sich im mittleren Buchstaben, welcher bei der Widerspruchsmarke zudem auf Grund der konkreten grafischen Gestaltung den ersten und letzten Buchstaben in der Höhe überragt. Zu beachten ist jedoch ausserdem, wie das Zeichen von den massgeblichen Verkehrskreisen ausgesprochen wird (Urteil des Bundesverwaltungsgerichts B-3268/2007 vom 25. Januar 2008 E. 4.3.3 - MBR / MR [fig.]; RKGE in sic! 2006 S. 268 E. 11 - IXS / IKKS). Da die angegriffene Marke auf deutsch keinen Sinn ergibt, werden die angesprochenen Verkehrskreise - Schweizer Durchschnittskonsumenten - das Zeichen auf französisch oder englisch lesen, um darin einen ihnen bekannten Bedeutungsinhalt zu finden (vgl. Urteil des Bundesverwaltungsgerichts B-1710/2008 vom 6. November 2008 E. 3.3 - Swistec). Die französischsprachigen Konsumenten werden in der Marke somit entgegen der Auffassung der Beschwerdeführerin den französischen Frauennamen erkennen und sie "ev" aussprechen - auch ohne den Akzent, den sie sich dazudenken werden. Da im Zusammenhang mit den beanspruchten Waren (div. Getränke) ein Frauenname als Marke mehr Sinn ergibt als "Abend" respektive "Vorabend (eines Festes)", welcher Begriff ohnehin nicht ohne Weiteres zum englischen Grundwortschatz gezählt werden kann, werden sich die Konsumenten aus den anderen Sprachregionen ebenfalls am Frauennamen orientieren und die Marke englisch "i:v" aussprechen, soweit sie nicht der französischen Aussprache den Vorzug geben. Dadurch erhält einerseits die angefochtene Marke die Bedeutung eines bekannten Frauennamens (376 Treffer im elektronischen Telefonverzeichnis local.ch), der sich im Zusammenhang mit alkoholischen Getränken gut merken lässt, da er mit "Frauengetränken" im Sinne von eher lieblichen Getränken assoziiert wird. Dagegen erkennen die angesprochenen Schweizer Durchschnittskonsumenten sofort, dass die Widerspruchsmarke keinen Sinngehalt aufweist, respektive dass anders als bei der angefochtenen Marke keine französische oder englische Bedeutung nahe liegt. Vielmehr fassen sie die Widerspruchsmarke als Fantasiebezeichnung auf (vgl. BGE 121 III 377 E. 2c - Boss / Boks), welche keine speziellen Assoziationen wachruft. Andererseits sind bei französischer und englischer Aussprache des angefochtenen Zeichens wie bereits erwähnt (vgl. E. 4.1) in klanglicher Hinsicht (Silbenzahl, bei englischer Aussprache andere Vokalfolge, unterschiedliche Aussprache des mittleren Buchstabens) Unterscheide auszumachen. Unter Berücksichtigung, dass das Widerspruchszeichen ein Kurzwort ist, fallen diese kleinen, aber doch deutlichen Unterschiede ins Gewicht. Angesichts dieser festgestellten Differenzen vermag der Umstand, dass die Aufmerksamkeit des Durchschnittskonsumenten beim Kauf von alkoholischen Getränken - also einem Massenartikel - nicht übermässig hoch ist (vgl. Urteil des Bundesverwaltungsgerichts B-7352/2008 vom 17. Juni 2009 E. 6.2 - Torres / Torre saracena), nichts mehr zu ändern.</w:t>
      </w:r>
    </w:p>
    <w:p>
      <w:r>
        <w:rPr>
          <w:b/>
        </w:rPr>
        <w:t>E. 5.3</w:t>
      </w:r>
    </w:p>
    <w:p>
      <w:r>
        <w:t>Zusammenfassend ist somit festzuhalten, dass entgegen der Meinung der Vorinstanz keine Gefahr von Fehlzurechnungen besteht.</w:t>
      </w:r>
    </w:p>
    <w:p>
      <w:r>
        <w:rPr>
          <w:b/>
        </w:rPr>
        <w:t>E. 6</w:t>
      </w:r>
    </w:p>
    <w:p>
      <w:r>
        <w:t>Die Beschwerde ist demnach gutzuheissen, der angefochtene Entscheid aufzuheben und der Widerspruch vollumfänglich abzuweisen.</w:t>
      </w:r>
    </w:p>
    <w:p>
      <w:r>
        <w:rPr>
          <w:b/>
        </w:rPr>
        <w:t>E. 7</w:t>
      </w:r>
    </w:p>
    <w:p>
      <w:r>
        <w:t>Bei diesem Ausgang des Verfahrens wird der Beschwerdegegner kosten- und entschädigungspflichtig (Art. 63 Abs. 1 und Art. 64 Abs. 1 VwVG).</w:t>
      </w:r>
    </w:p>
    <w:p>
      <w:r>
        <w:rPr>
          <w:b/>
        </w:rPr>
        <w:t>E. 7.1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mit Hinweisen). Von diesem Erfahrungswert ist auch im vorliegenden Verfahren auszugehen.</w:t>
      </w:r>
    </w:p>
    <w:p>
      <w:r>
        <w:rPr>
          <w:b/>
        </w:rPr>
        <w:t>E. 7.2</w:t>
      </w:r>
    </w:p>
    <w:p>
      <w:r>
        <w:t>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Im vorliegenden Fall erscheint eine Parteientschädigung von Fr. 2'000.-- für das erstinstanzliche Verfahren und das Beschwerdeverfahren angemessen.</w:t>
      </w:r>
    </w:p>
    <w:p>
      <w:r>
        <w:rPr>
          <w:b/>
        </w:rPr>
        <w:t>E. 8</w:t>
      </w:r>
    </w:p>
    <w:p>
      <w:r>
        <w:t>Gegen dieses Urteil steht keine Beschwerde an das Bundesgericht offen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