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B-4137/2010 vom 17. September 2010</w:t>
      </w:r>
    </w:p>
    <w:p>
      <w:r>
        <w:t>Bundesverwaltungsgericht, 2010-09-17, DE</w:t>
      </w:r>
    </w:p>
    <w:p>
      <w:r>
        <w:rPr>
          <w:b/>
        </w:rPr>
        <w:t xml:space="preserve">Quelle: </w:t>
      </w:r>
      <w:r>
        <w:t>https://mcp.opencaselaw.ch/entscheid/bvger_B-4137_2010</w:t>
      </w:r>
    </w:p>
    <w:p>
      <w:r>
        <w:t>FR: TAF B-4137/2010 du 17 septembre 2010</w:t>
      </w:r>
    </w:p>
    <w:p>
      <w:r>
        <w:t>IT: TAF B-4137/2010 del 17 settembre 2010</w:t>
      </w:r>
    </w:p>
    <w:p>
      <w:pPr>
        <w:pStyle w:val="Heading2"/>
      </w:pPr>
      <w:r>
        <w:t>Regeste</w:t>
      </w:r>
    </w:p>
    <w:p>
      <w:r>
        <w:t>Revisionsaufsicht</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RAB zählt (Art. 33 Bst. e VGG i.V.m. Art. 28 Abs. 2 des Revisionsaufsichtsgesetzes vom 16. Dezember 2005 [RAG, SR 221.302]). Der Entscheid der Vorinstanz vom 17. Mai 2010 stellt eine Verfügung im Sinne von Art. 5 Abs. 1 VwVG dar. Er kann im Rahmen der allgemeinen Bestimmungen der Bundesverwaltungsrechtspflege beim Bundesverwaltungsgericht angefochten werden (Art. 44 VwVG i.V.m. Art. 31 ff. VGG). Der Beschwerdeführer ist Adressat der angefochtenen Verfügung und daher im Sinne von Art. 48 Abs. 1 Bst. a-c VwVG beschwerdeberechtigt. Er ist im vorliegenden Verfahren rechtsgültig vertreten (vgl. Vollmacht vom 25. November 2009; Art. 11 Abs. 1 und 2 VwVG). Die Beschwerde wurde frist- und formgerecht eingereicht (Art. 50 Abs.1 und Art. 52 Abs. 1 VwVG) und der Kostenvorschuss wurde rechtzeitig bezahlt (Art. 63 Abs. 4 VwVG). Damit ist auf die Beschwerde einzutreten.</w:t>
      </w:r>
    </w:p>
    <w:p>
      <w:r>
        <w:rPr>
          <w:b/>
        </w:rPr>
        <w:t>E. 2</w:t>
      </w:r>
    </w:p>
    <w:p>
      <w:r>
        <w:t>Das Revisionsaufsichtsgesetz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2.1</w:t>
      </w:r>
    </w:p>
    <w:p>
      <w:r>
        <w:t>Natürliche Personen und Revisionsunternehmen, die Revisionsdienstleistungen erbringen, bedürfen einer Zulassung durch die Aufsichtsbehörde (Art. 3 Abs. 1 RAG). Nach Art. 28 Abs. 1 RAG obliegt die Aufsicht der Eidgenössischen Revisionsaufsichtsbehörde (RAB, Vorinstanz). Sie entscheidet gemäss Art. 15 Abs. 1 RAG auf Gesuch hin über die Zulassung von Revisionsexpertinnen/Revisionsexperten, Revisorinnen/Revisoren sowie von staatlich beaufsichtigten Revisionsunternehmen. Nach Art. 4 Abs. 1 RAG wird eine natürliche Person als Revisionsexpertin zugelassen, wenn sie die Anforderungen an die Ausbildung und Fachpraxis erfüllt und über einen unbescholtenen Leumund verfügt. Natürliche Personen werden unbefristet zugelassen (Art. 3 Abs. 2 RAG). Erfüllt eine Revisorin, ein Revisor, eine Revisionsexpertin oder ein Revisionsexperte die Zulassungsvoraussetzungen der Art. 4-6 nicht mehr, so kann die Aufsichtsbehörde die Zulassung befristet oder unbefristet entziehen. Sofern die Zulassungsvoraussetzungen wiederhergestellt werden können, ist der Entzug vorher anzudrohen (Art. 17 Abs. 1 RAG). Ein Revisionsunternehmen wird als Revisionsexperte oder als Revisor zugelassen, wenn, unter weiteren Voraussetzungen, die Mehrheit der Mitglieder seines obersten Leitungs- oder Verwaltungsorgans sowie seines Geschäftsführungsorgans über die entsprechende Zulassung verfügt (Art. 6 Abs. 1 Bst. a RAG). Somit kann das Einzelunternehmen des Beschwerdeführers nur dann als Revisionsexperte zugelassen werden, wenn der Beschwerdeführer als Inhaber über die entsprechende Zulassung verfügt. Der Beschwerdeführer erfüllt unbestrittenermassen die Anforderungen an Ausbildung und Fachpraxis (vgl. Art. 4 Abs. 2 Bst. a RAG). Streitgegenstand bildet vorliegend die Frage, ob er einen unbescholtenen Leumund hat.</w:t>
      </w:r>
    </w:p>
    <w:p>
      <w:r>
        <w:rPr>
          <w:b/>
        </w:rPr>
        <w:t>E. 2.2</w:t>
      </w:r>
    </w:p>
    <w:p>
      <w:r>
        <w:t>Der Begriff des unbescholtenen Leumunds im Sinne von Art. 4 Abs. 1 RAG wird in der Botschaft zum RAG (vgl. Botschaft zur Änderung des Obligationenrechts [Revisionspflicht im Gesellschaftsrecht] sowie zum Bundesgesetz über die Zulassung und Beaufsichtigung der Revisorinnen und Revisoren vom 23. Juni 2004, BBl 2004 3969 ff., 4092 f.) nicht näher umschrieben. Er wird in Art. 4 Abs. 1 der Revisionsaufsichtsverordnung vom 22. August 2007 (RAV, SR 221.302.3) konkretisiert. Danach wird der Gesuchsteller zugelassen, wenn er über einen unbescholtenen Leumund verfügt und es sich aus keinen anderen persönlichen Umständen ergibt, dass er keine Gewähr für eine einwandfreie Prüftätigkeit bietet. Mit den hier interessierenden unbestimmten Rechtsbegriffen des guten Leumunds und der Gewähr für eine einwandfreie Prüf- bzw. Geschäftstätigkeit knüpfen das RAG und die RAV an die entsprechenden Bewilligungserfordernisse und Regelungen an, wie sie in weiteren, für die Finanzmarktaufsicht relevanten Erlassen enthalten sind, so etwa an Art. 3 Abs. 2 Bst. c des Bankengesetzes vom 8. November 1934 (BankG, SR 952.0), Art. 10 Abs. 2 Bst. d des Börsengesetzes vom 24. März 1995 (BEHG, SR 954.1), Art. 14 Abs. 2 Bst. c des Geldwäschereigesetzes vom 10. Oktober 1997 (GwG, SR 955.0) und Art. 14 Abs. 1 des Versicherungsaufsichtsgesetzes vom 17. Dezember 2004 (VAG, SR 961.01). Die hierzu entwickelte Rechtsprechung des Bundesgerichts und des Bundesverwaltungsgerichts ist demnach auch im vorliegenden Zusammenhang soweit erforderlich ergänzend heranzuziehen.</w:t>
      </w:r>
    </w:p>
    <w:p>
      <w:r>
        <w:rPr>
          <w:b/>
        </w:rPr>
        <w:t>E. 2.3</w:t>
      </w:r>
    </w:p>
    <w:p>
      <w:r>
        <w:t>Bei der Beurteilung des unbescholtenen Leumunds im Rahmen der Zulassungsprüfung sind gemäss ausdrücklicher Anordnung von Art. 4 Abs. 2 Bst. a und b RAV insbesondere strafrechtliche Verurteilungen, deren Eintrag im Zentralstrafregister nicht entfernt ist, sowie bestehende Verlustscheine zu berücksichtigen. Es ist unbestritten und ergibt sich aus den Akten, dass der Beschwerdeführer im Zentralstrafregister nicht verzeichnet ist und gegen ihn keine Verlustscheine bestehen. Diese beiden Elemente entfallen somit im vorliegenden Fall. Insofern liegt der Sachverhalt demnach anders als in BVGE 2008/49, wo eine Verzeichnung im Zentralstrafregister zum Bewilligungsentzug geführt hatte.</w:t>
      </w:r>
    </w:p>
    <w:p>
      <w:r>
        <w:rPr>
          <w:b/>
        </w:rPr>
        <w:t>E. 2.4</w:t>
      </w:r>
    </w:p>
    <w:p>
      <w:r>
        <w:t>Im genannten Entscheid BVGE 2008/49 erwog das Bundesverwaltungsgericht in Erwägung 4 und mit Bezugnahme auf die höchstrichterliche Rechtsprechung (vgl. BGE 129 II 438 E. 3.3, BGE 108 Ib 196 E. 2, BGE 99 Ib 104 E. 5b), dass bei der Gewährs- und Leumundsprüfung verschiedene Elemente wie Integrität, Gewissenhaftigkeit und einwandfreie Sorgfalt als berufsspezifische Leumundsmerkmale oder allgemeine Eigenschaften wie Ansehen, Achtung und Vertrauenswürdigkeit zu berücksichtigen seien. Unter Umständen könnten auch Aktivitäten, die über die Tätigkeit als Revisor und Revisionsexperte hinausgingen, die Beurteilung einer einwandfreien Prüftätigkeit beeinflussen. Der Begriff des guten Leumunds bzw. der Gewähr sei jeweils im Einzelfall und bezogen auf die gesamten Umstände mit Blick auf die besonderen Aufgaben der Revisionsstelle zu prüfen. Eine einwandfreie Prüftätigkeit erfordere fachliche Kompetenz und ein korrektes Verhalten im Geschäftsverkehr. Unter Letzterem sei in erster Linie die Einhaltung der Rechtsordnung, namentlich des Revisionsrechts, aber auch des Zivil- und Strafrechts, sowie die Beachtung des Grundsatzes von Treu und Glauben zu verstehen. Mit dem Gebot der einwandfreien Prüftätigkeit nicht zu vereinbaren seien deshalb Verstösse gegen einschlägige Rechtsnormen bzw. gegen die Treue- und Sorgfaltspflichten. Ähnlich - und ebenfalls auf die höchstrichterliche Rechtsprechung Bezug nehmend - hatte das Bundesverwaltungsgericht bereits in einem die bankenrechtliche Gewähr betreffenden Fall entschieden (vgl. BVGE 2008/23). Es ist daher im Folgenden zu prüfen, wie es sich vorliegend damit verhält.</w:t>
      </w:r>
    </w:p>
    <w:p>
      <w:r>
        <w:rPr>
          <w:b/>
        </w:rPr>
        <w:t>E. 3</w:t>
      </w:r>
    </w:p>
    <w:p>
      <w:r>
        <w:t>Die Vorinstanz widerrief die Zulassung des Beschwerdeführers, da ihr im Zeitpunkt der Gutheissung des Gesuchs nicht alle relevanten Tatsachen bekannt gewesen seien. Vom Resultat her spielt es indessen keine Rolle, ob ein Widerruf der Zulassungsverfügung oder ein Entzug der Zulassung gemäss Art. 17 RAG aufgrund eines Nichterfüllens von Zulassungsvoraussetzungen angeordnet wird. Die Vorinstanz begründete den Widerruf bzw. den Entzug der Zulassung in erster Linie damit, dass die vom Beschwerdeführer beherrschte Gesellschaft Y._______ durch das Handelsgericht St. Gallen am 15. November 2007 zur Bezahlung eines Schadenersatzes in der Höhe von Fr. 6'969'900.- an die Z._______ verurteilt worden war. Dieses Urteil wurde vom Kassationsgericht St. Gallen wie auch vom Bundesgericht (Urteil 4A_65/2008 vom 3. August 2009) bestätigt. Natürliche Personen werden unbefristet zugelassen (Art. 3 Abs. 2 RAG).</w:t>
      </w:r>
    </w:p>
    <w:p>
      <w:r>
        <w:rPr>
          <w:b/>
        </w:rPr>
        <w:t>E. 3.1</w:t>
      </w:r>
    </w:p>
    <w:p>
      <w:r>
        <w:t>Dem Urteil des Handelsgerichts (Vernehmlassungsbeilage 5, pag. 401 ff. der Akten) ist zu entnehmen, dass die Y._______, bzw. deren Vertreter A._______ und B._______, in den Geschäftsjahren 1989 bis 1995 pflichtwidrig gehandelt haben, indem sie Verletzungen der bankengesetzlichen Vorschriften zur Risikoverteilung, die ihnen hätten bekannt sein müssen, nicht konsequent festgestellt und gegenüber dem Verwaltungsrat und dem Direktor entsprechend abgemahnt hatten. Diese Pflichtverletzungen seien als erheblich zu betrachten (S. 93 f. des Urteils). Im Weitern sei der Y._______ die Unterlassung von rechtzeitig vorgebrachten Beanstandungen insbesondere in Bezug auf die Ausgestaltung des Rechnungswesens, der Führung der Kreditdossiers, der regelmässigen Überprüfung der Kredite und des Risikomanagements vorzuwerfen (S. 111). Zusammenfassend hielt das Handelsgericht fest, in Bezug auf die Revisionsberichte seien der Y._______ bzw. dem leitenden Revisor B._______ und dem mitunterzeichnenden Hauptaktionär A._______ Sorgfaltspflichtverletzungen vorzuwerfen, indem sie bestehende Risiken, insbesondere Klumpenrisiken, nicht beanstandet und entsprechende Wertberichtigungen nicht beantragt hätten. Es sei davon auszugehen, dass der Verwaltungsrat, wären diese Beanstandungen seit 1990 mit dem notwendigen Nachdruck erfolgt, die entsprechenden Massnahmen eingeleitet hätte (S. 128 des Urteils). Das Handelsgericht führte ferner explizit aus, dass der Beschwerdeführer neben B._______ mitverantwortlich für die Tätigkeit der Y._______ als Revisionsstelle und für die Richtigkeit der Revisionsberichte sei. Er habe nicht nur den Prüfungsbericht mitunterschrieben, sondern als Hauptaktionär der Alfa und Vorgesetzter von B._______ auf die für die Z._______ erstellten Revisionsberichte direkt Einfluss nehmen können. Massgeblich sei das Verschulden von B._______ und auch dasjenige des Beschwerdeführers (S. 119, 127 sowie 241 des Urteils). Die Beschwerden gegen dieses Urteil wurden vom Kassationsgericht wie auch vom Bundesgericht, soweit darauf eingetreten wurde, abgewiesen. Dabei wurde insbesondere die Feststellung, dass ein Klumpenrisiko bestand, vom Kassationsgericht (Vernehmlassungsbeilage 4, pag. 326 ff. der Akten, Ziff. 4.8, S. 31 f.) und vom Bundesgericht (E. 10.3, S. 40 f.) gestützt.</w:t>
      </w:r>
    </w:p>
    <w:p>
      <w:r>
        <w:rPr>
          <w:b/>
        </w:rPr>
        <w:t>E. 3.2</w:t>
      </w:r>
    </w:p>
    <w:p>
      <w:r>
        <w:t>Aus den Urteilen des Handelsgerichts und des Kassationsgerichts St. Gallen sowie aus jenem des Bundesgerichts geht somit hervor, dass die Y._______ bzw. der Beschwerdeführer sich Pflichtverletzungen im Kernbereich der Tätigkeit der Revisionsstelle haben zu Schulden kommen lassen. Diese Urteile sind in Rechtskraft erwachsen, weshalb sich die Vorinstanz zu Recht auf den darin festgestellten Sachverhalt und die Erwägungen stützte. Die in diesem Zusammenhang geltend gemachten Argumente des Beschwerdeführers nochmals zu überprüfen, würde ein Zurückkommen auf rechtskräftige Urteile bedeuten, wofür kein Anlass besteht. Die Rüge des Beschwerdeführers, die Vorinstanz habe es unterlassen, zwischen dem Beschwerdeführer einerseits und der Y._______ andererseits zu unterscheiden, zielt ins Leere. In den genannten Urteilen wird die Mitverantwortung des Beschwerdeführer klar bejaht. Entgegen der Meinung des Beschwerdeführers sind die Handlungen bzw. Unterlassungen, die zur Schadenersatzpflicht führten, dem Beschwerdeführer als Mitunterzeichnendem der Revisionsberichte und Vorgesetztem des leitenden Revisors persönlich zuzurechnen und daher auch im Kontext der Gewährsprüfung massgebend.</w:t>
      </w:r>
    </w:p>
    <w:p>
      <w:r>
        <w:rPr>
          <w:b/>
        </w:rPr>
        <w:t>E. 3.3</w:t>
      </w:r>
    </w:p>
    <w:p>
      <w:r>
        <w:t>Dem Einwand des Beschwerdeführers, es sei nicht auf das Zivilurteil des Handelsgerichts St. Gallen, sondern auf das ihn in allen Anklagepunkten freisprechende Strafurteil des Obergerichts Zürich (Vernehmlassungsbeilage 4, pag. 143 ff. der Akten) und die dortigen Sachverhaltsfeststellungen abzustellen, ist Folgendes entgegenzuhalten: Grundsätzlich werden - da für die Beurteilung des Leumunds nicht nur strafrechtliche Verurteilungen von Bedeutung sind, sondern u.a. auch Urteile in zivil- oder verwaltungsrechtlichen Verantwortlichkeitsverfahren (vgl. E. 2.4 sowie Urteil des Bundesverwaltungsgerichts B-7348/2009 vom 3. Juni 2010 E. 8.1) - sowohl das strafrechtliche als auch das zivilrechtliche Verfahren berücksichtigt. Da das Obergericht Zürich den Beschwerdeführer am 14. Juli 2006 jedoch von den Vorwürfen des mehrfachen Betrugs und der Urkundenfälschung freigesprochen hat, ist dieses Strafverfahren bei der Beurteilung der Gewähr für eine einwandfreie Prüftätigkeit nicht einzubeziehen. Der Zivilrichter ist, wie das Handelsgericht St. Gallen ausführte und das Bundesgericht im oben (E. 3) zitierten Urteil in E. 8.2 bestätigte, nicht an das strafrechtliche Urteil gebunden, sondern entscheidet über Schuldfrage und Schadensbestimmung grundsätzlich frei (Art. 53 Abs. 2 des Obligationenrechts vom 30. März 1911 [OR; SR 220]). Die im Zivilverfahren vorgenommenen Würdigungen, wonach die Y._______ als verantwortlich befunden und dem Beschwerdeführer eine Mitverantwortung attestiert wurde, und die entsprechenden Urteile sind im Gewährsverfahren ebenfalls massgebend.</w:t>
      </w:r>
    </w:p>
    <w:p>
      <w:r>
        <w:rPr>
          <w:b/>
        </w:rPr>
        <w:t>E. 3.4</w:t>
      </w:r>
    </w:p>
    <w:p>
      <w:r>
        <w:t>Die eingangs erwähnten, im Urteil des Handelsgerichts St. Gallen genannten Verfehlungen der Y._______ bzw. des Beschwerdeführers, welche in unmittelbarem Zusammenhang mit den Pflichten von Revisionsexperten stehen, wiegen schwer und verursachten einen grossen Schaden. Die Vorinstanz hat diese daher zu Recht in massgebender Weise in die Leumunds-Prüfung einbezogen bzw. darauf abgestellt.</w:t>
      </w:r>
    </w:p>
    <w:p>
      <w:r>
        <w:rPr>
          <w:b/>
        </w:rPr>
        <w:t>E. 4</w:t>
      </w:r>
    </w:p>
    <w:p>
      <w:r>
        <w:t>Die Vorinstanz hielt in der angefochtenen Verfügung weiter fest, der Beschwerdeführer habe im Rahmen seiner Tätigkeit gegen die Unabhängigkeitsvorschriften verstossen. Sie stützte sich auch insofern auf die Erwägungen im Entscheid des Handelsgerichts St. Gallen und hielt fest, das Handelsgericht habe zu Recht festgestellt, im Zusammenhang mit der Revisionstätigkeit bei der Z._______ sei die erforderliche Unabhängigkeit aufgrund der verschiedenen wirtschaftlichen und personellen Beziehungen zwischen dem Beschwerdeführer und der Y._______ zu C._______ und der Q._______ nicht vorhanden gewesen (gemäss Feststellungen der EBK stand die Z._______ in einem nicht tolerierbaren Abhängigkeitsverhältnis zu C._______ und der Q._______, zu welcher u.a. die R._______ gehörte). Der Beschwerdeführer bestreitet diese Vorwürfe.</w:t>
      </w:r>
    </w:p>
    <w:p>
      <w:r>
        <w:rPr>
          <w:b/>
        </w:rPr>
        <w:t>E. 4.1</w:t>
      </w:r>
    </w:p>
    <w:p>
      <w:r>
        <w:t>Nach Art. 727c OR (in der Fassung vom 4. Oktober 1991 [AS 1992 774]; in Kraft seit 1. Juli 1992 bis 31. Dezember 2007 [AS 2007 4791, 4839]) müssen die Revisoren vom Verwaltungsrat und von einem Aktionär, der über die Stimmenmehrheit verfügt, unabhängig sein. Insbesondere dürfen sie weder Arbeitnehmer der zu prüfenden Gesellschaft sein noch Arbeiten für diese ausführen, die mit dem Prüfungsauftrag unvereinbar sind. Sie dürfen keine besonderen Vorteile annehmen. Sie müssen auch von Gesellschaften, die dem gleichen Konzern angehören, unabhängig sein, sofern ein Aktionär oder ein Gläubiger dies verlangt. Die Unabhängigkeit war nach früherer schweizerischer Berufsauffassung vor allem eine Frage der inneren Einstellung (sog. "independence in fact"; vgl. BGE 99 Ib 104 E. 5); das revidierte Aktienrecht wollte aber auch den offensichtlichen Anschein der Befangenheit vermeiden (sog. "independence in appearance"). In der Botschaft über die Revision des Aktienrechts vom 23. Februar 1983 (vgl. BBl 1983 II 745) wurde ausgeführt, Unabhängigkeit bedeute Weisungsungebundenheit, Freiheit des Urteils und Selbständigkeit im Entscheid. Der Revisor dürfe in seinen persönlichen, wirtschaftlichen und finanziellen Verhältnissen nicht in solchem Ausmass von der Verwaltung oder vom Hauptaktionär abhängig sein, dass er in seiner Entscheidungsfreiheit wesentlich eingeschränkt sei (vgl. BBl 1983 II 929). Das revidierte Aktienrecht wollte somit nicht nur jede offensichtliche Weisungsgebundenheit, sondern auch weniger leicht erkennbare beteiligungsmässige, hierarchische oder wegen anderer Zusammenhänge gegebene Abhängigkeiten vermeiden (vgl. BGE 123 V 161 E. 3b/cc, mit weiteren Hinweisen; BGE 123 III 31 E. 1a; vgl. auch BVGE 2007/49 E. 3.1 - 3.5). Als Unabhängigkeit des Abschlussprüfers wurde demnach bereits im hier zu beurteilenden Zeitraum (1989 bis 1995), spätestens jedoch ab 1992, dessen Fähigkeit verstanden, frei, unkontrolliert und unbeeinflusst vom geprüften Unternehmen bzw. dessen verantwortlichen Organen zu handeln, wobei auch jede äussere Beziehung, welche den Anschein der Befangenheit begründen könnte, zu vermeiden war. Des Weiteren musste und muss die Revisionsstelle fähig sein, unbeeinflusst von Eigeninteressen auf Mängel im geprüften Unternehmen hinzuweisen. Diese Forderung verlangt, dass der Revisor keine direkten oder indirekten finanziellen Interessen an der zu prüfenden Gesellschaft hat und keine engen persönlichen und geschäftlichen Beziehungen bestehen (vgl. ROLF WATTER, in: Heinrich Honsell/Nedim Peter Vogt/Rolf Watter [Hrsg.], Basler Kommentar, Obligationenrecht II, Basel 2002, Rz. 1 und 4 ff. zu Art. 727c OR).</w:t>
      </w:r>
    </w:p>
    <w:p>
      <w:r>
        <w:rPr>
          <w:b/>
        </w:rPr>
        <w:t>E. 4.2</w:t>
      </w:r>
    </w:p>
    <w:p>
      <w:r>
        <w:t>Die dem Beschwerdeführer im Urteil des Handelsgerichts St. Gallen vorgeworfenen Verstösse gegen den Grundsatz der Unabhängigkeit präsentieren sich zusammengefasst wie folgt: Der Beschwerdeführer und die Y._______ betreuten für C._______ und die Q._______ verschiedene Mandate. So war die Y._______ für verschiedene Gesellschaften der Q._______ als Treuhänderin oder Revisionsstelle tätig. Der Beschwerdeführer war Verwaltungsrat und Verwaltungsratspräsident in Gesellschaften der Q._______ und Aktionär einer zur Q._______ gehörenden Gesellschaft (S. 119 des Urteils); der Beschwerdeführer nahm an Verwaltungsratssitzungen der Z._______, in welchen über Kredite entschieden wurde, teil und war bei einzelnen Krediten direkt als Vermittler und Berater tätig. So fungierte er als Vermittler bei der Gewährung eines Kredits an die R._______ und war dabei für die Unterbeteiligung einer Bank besorgt. In diesem Zusammenhang übernahm er die faktische Geschäftsführung (S. 118 f. und 127 des Urteils); da der Beschwerdeführer selber nicht unabhängig war, erfüllte auch der ihm unterstellte, leitende Revisor B._______ das Unabhängigkeitserfordernis nicht, denn der Beschwerdeführer konnte auf die von B._______ erstellten Revisionsberichte direkt einwirken (S. 118 f.). Aufgrund dieser Umstände bejahte das Handelsgericht den Anschein der Voreingenommenheit.</w:t>
      </w:r>
    </w:p>
    <w:p>
      <w:r>
        <w:rPr>
          <w:b/>
        </w:rPr>
        <w:t>E. 4.3</w:t>
      </w:r>
    </w:p>
    <w:p>
      <w:r>
        <w:t>Die vom Handelsgericht St. Gallen in Bezug auf die (mangelnde) Unabhängigkeit gemachten Feststellungen wurden vom Kassationsgericht St. Gallen wie auch vom Bundesgericht nicht relativiert, zum Teil ausdrücklich bestätigt (S. 27 bis 30 des Urteils des Kassationsgerichts, E. 6.9 und 6.10 des Urteils 4A_65/2008 des Bundesgerichts). Das Kassationsgericht führte in Erwägung 7.3 S. 53 (im Zusammenhang mit dem zu beurteilenden Ausstandsbegehren gegen einen Gutachter) ferner Folgendes aus: "So hält die Vorinstanz fest, dass die mit dem Ausdruck 'Chamäleon' im Zusammenhang stehende inhaltliche Feststellung des Gutachters insofern bildhaft zutreffend sei, als A._______ verschiedene, mit seiner Unabhängigkeit nicht zu vereinbarende Funktionen bei der Klägerin (Z._______) ausgeübt habe. Die Beklagte 1 (Y._______) stellt dies nicht in Frage." Dem Urteil des Bundesgerichts ist hierzu zu entnehmen, mit dem genannten Ausdruck ("Chamäleon") habe der Gutachter bildhaft auf die Unvereinbarkeit der verschiedenen Funktionen von A._______ hingewiesen. Auch wenn der Ausdruck der Form nach unangebracht gewesen sei, sei die darin geäusserte Kritik in den im Rahmen des Gutachtens aufbereiteten Tatsachen begründet und treffe inhaltlich zu (E. 7.3).</w:t>
      </w:r>
    </w:p>
    <w:p>
      <w:r>
        <w:rPr>
          <w:b/>
        </w:rPr>
        <w:t>E. 4.4</w:t>
      </w:r>
    </w:p>
    <w:p>
      <w:r>
        <w:t>Der Beschwerdeführer wendet in seiner Beschwerde ein, an den insgesamt drei Verwaltungsratssitzungen der Z._______, an welchen er teilgenommen habe, habe er lediglich die Erkenntnisse der bankengesetzlichen Revisionsstelle präsentiert und Fragen dazu beantwortet; nur ein einziges Mal habe er sich, auf Anfrage hin, zu den traktandierten Krediten geäussert. Zum Kreditgesuch der R._______ habe er sich nur darum geäussert, weil er vom Verwaltungsrat der Z._______ um Rat gebeten worden sei. Die Z._______ habe den von der Y._______ revidierten Gesellschaften der Q._______ nie Kredite gewährt, womit Interessenkollisionen von vornherein ausgeschlossen gewesen seien. Diese Ausführungen des Beschwerdeführers stellen Einwände dar, welche im zivilrechtlichen Verfahren bereits in rechtsgenüglicher Weise abgehandelt worden waren bzw. welche gemäss den Erwägungen der urteilenden Gerichte nicht geeignet waren, die Unabhängigkeit des Beschwerdeführers darzutun. So führte das Bundesgerichts etwa bezüglich des Kredites an die R._______, einer zur Q._______ gehörenden Gesellschaft, aus, die Vorinstanzen hätten ohne in Willkür zu verfallen den Schluss ziehen dürfen, der Beschwerdeführer habe sich aktiv in den Vertragsabschluss eingeschaltet (vgl. Urteil 4A_65/2008 E. 6.9). Die Unabhängigkeit des Revisoren ist z.B. dann gefährdet, wenn Mitarbeiter der Revisionsstelle wichtige Entscheide des Revisionskunden "vorspuren" oder gar selber fällen (ROLF WATTER, Basler Kommentar zum Obligationenrecht, a.a.O., Rz. 12 zu Art. 727c OR). Gemäss den Richtlinien zur Unabhängigkeit der Treuhand-Kammer vom 3. Juni 1992 (RzU 1992, in Kraft bis 31. Dezember 2001, Ziff. 3.8) ist bei der Beratung im weitesten Sinne von Revisionskunden durch den Abschlussprüfer der Grundsatz der Unabhängigkeit immer zu wahren; die Entscheidungsbefugnisse müssten in jedem Fall beim Kunden liegen. Die Unabhängigkeit dürfe auch nicht in Folge persönlicher und familiärer Bindungen und Beziehungen beeinträchtigt werden (Ziff. 3.11). Indem der Beschwerdeführer gleichzeitig mannigfaltige Beziehungen zur Q._______ pflegte und sich aktiv in ein Kreditgeschäft der Z._______ im Zusammenhang mit der R._______ einschaltete, wies er die geforderte Unabhängigkeit eines Revisoren nicht auf. Zu vermeiden ist und war (auch im zu beurteilenden Zeitraum) - wie gesagt (E. 4.1) - bereits jede äussere Beziehung, welche den Anschein der Befangenheit begründen könnte. Aufgrund der im zivilrechtlichen Verfahren mehrfach dargestellten Verflechtungen zwischen dem Beschwerdeführer und der Q._______, zu welcher die Z._______ offenbar in einem Abhängigkeitsverhältnis stand, wurde die Unabhängigkeit auch dem Anschein nach verletzt. Die Vorinstanz stützte sich daher zu Recht auf die entsprechende Beurteilung des Kassationsgerichts, wonach es an der erforderlichen Unabhängigkeit gefehlt habe.</w:t>
      </w:r>
    </w:p>
    <w:p>
      <w:r>
        <w:rPr>
          <w:b/>
        </w:rPr>
        <w:t>E. 5</w:t>
      </w:r>
    </w:p>
    <w:p>
      <w:r>
        <w:t>Im Sinne eines Zwischenfazits ist festzuhalten, dass der Beschwerdeführer sich schwerwiegende Pflichtverletzungen, die in unmittelbarem Zusammenhang mit den Pflichten von Revisionsexperten stehen, hat zu Schulden kommen lassen. Wie oben dargestellt (E. 2.4), bietet eine Person, die gegen einschlägige Rechtsnormen des Revisionsrechts, des Zivil- und Strafrechts oder gegen Sorgfaltspflichten verstösst, keine Gewähr für eine einwandfreie Prüftätigkeit. Die genannten Verfehlungen des Beschwerdeführers beeinträchtigen im Gegenteil seinen beruflichen Leumund und guten Ruf und lassen erhebliche Zweifel an einer glaubwürdigen Ausübung seiner Tätigkeit und der Einhaltung seiner Pflichten aufkommen. Der Schlussfolgerung der Vorinstanz, wonach das Vertrauen in eine einwandfreie Prüftätigkeit zum heutigen Zeitpunkt nicht gegeben sei, hält der Beschwerdeführer indessen verschiedene Einwände entgegen, welche in der Folge zu prüfen sind.</w:t>
      </w:r>
    </w:p>
    <w:p>
      <w:r>
        <w:rPr>
          <w:b/>
        </w:rPr>
        <w:t>E. 6</w:t>
      </w:r>
    </w:p>
    <w:p>
      <w:r>
        <w:t>Der Beschwerdeführer bemängelt, die Vorinstanz habe dem Umstand keinerlei Beachtung geschenkt, dass die Geschehnisse um die Z._______ mittlerweile zwischen sechzehn und einundzwanzig Jahre zurücklägen. Es sei nicht nachvollziehbar, weshalb für die Gewährsprüfung - und dabei insbesondere für die Zukunftsprognose - von grösserer Relevanz sein solle, dass die zivilgerichtliche Aufarbeitung der vorgeworfenen Sachverhalte erst einige wenige Jahre zurückliege, während offenbar völlig unbeachtlich sein solle, dass sich der Beschwerdeführer seither während fast zwei Jahrzehnten über eine einwandfreie Geschäftstätigkeit ausweisen könne.</w:t>
      </w:r>
    </w:p>
    <w:p>
      <w:r>
        <w:rPr>
          <w:b/>
        </w:rPr>
        <w:t>E. 6.1</w:t>
      </w:r>
    </w:p>
    <w:p>
      <w:r>
        <w:t>Die dem Beschwerdeführer vorgeworfenen Verfehlungen rund um die Z._______ beziehen sich zwar auf einen relativ weit zurückliegenden Zeitraum. Das letzte Urteil in dieser Sache datiert jedoch vom 3. August 2009. Die Vorinstanz hielt diesbezüglich fest, bei der Beurteilung der Gewähr für eine einwandfreie Prüftätigkeit könne nicht primär auf den Zeitpunkt einer Handlung oder Unterlassung abgestellt werden, sondern vielmehr auf den Zeitpunkt einer allfälligen Verurteilung. Würde man auf den Zeitpunkt der vom Gericht beurteilten Vorgänge abstellen, könnte ein Gesuchsteller oder eine bereits zugelassene Person durch Beschreiten des Rechtswegs und durch gezielte Verzögerung eines Verfahrens negative Konsequenzen mit Blick auf die Zulassung unter Umständen abschwächen oder ganz vermeiden. Dadurch würde das Kriterium der Gewähr für eine einwandfreie Prüftätigkeit als Zulassungsvoraussetzung stark, wenn nicht ganz an Bedeutung verlieren, was nicht der Absicht des Gesetzgebers entspreche.</w:t>
      </w:r>
    </w:p>
    <w:p>
      <w:r>
        <w:rPr>
          <w:b/>
        </w:rPr>
        <w:t>E. 6.2</w:t>
      </w:r>
    </w:p>
    <w:p>
      <w:r>
        <w:t>Wie das Bundesverwaltungsgericht in einem ähnlich gelagerten Fall mit Hinweis auf die gesetzlichen Grundlagen (Art. 369 Abs. 3, Abs. 6 Bst. a und Abs. 7 des Schweizerischen Strafgesetzbuchs vom 21. Dezember 1937 [StGB; SR 311.0], Art. 11 Abs. 1 der Verordnung über das Strafregister vom 29. September 2006 [VOSTRA-Verordnung; SR 331]; vgl. Urteil des Bundesverwaltungsgerichts B-7348/2009 vom 3. Juni 2010 E. 12.2) dargelegt hat, können strafrechtliche Urteile dem Betroffenen auch noch entgegengehalten werden, wenn die entsprechenden Taten vor mehr als zehn Jahren begangen wurden, nämlich dann, wenn der Strafregistereintrag jüngeren Datums ist. Das Bundesverwaltungsgericht hielt fest, dies müsse analog auch für zivilrechtliche Urteile gelten. Daher kommt es bei der Frage, wie lange ein begangener Verstoss gegen die Rechtsordnung, sei es nun im Bereich des Straf- oder des Zivilrechts, für die Beurteilung des Leumunds berücksichtigt werden soll, auf den Zeitpunkt des Urteils an.</w:t>
      </w:r>
    </w:p>
    <w:p>
      <w:r>
        <w:rPr>
          <w:b/>
        </w:rPr>
        <w:t>E. 6.3</w:t>
      </w:r>
    </w:p>
    <w:p>
      <w:r>
        <w:t>Dem Beschwerdeführer ist hingegen insofern Recht zu geben, als der Zeitpunkt von Verfehlungen - wie auch deren Schwere und Häufung - bei der Gewährsprüfung ebenfalls berücksichtigt werden muss. Eine für die Zulassung zu Revisionsdienstleistungen relevante Verfehlung ist anders zu gewichten, wenn sie beispielsweise vor einem Jahr, als wenn sie vor zehn Jahren - bei seither unfehlbarem Verhalten - begangen wurde. Hierzu ist festzuhalten, dass die Verfehlungen des Beschwerdeführers zwar einige Zeit zurückliegen, dass sie aber von erheblicher Schwere sind. Zudem handelt es sich nicht um einen einzigen Vorfall, sondern um eine jahrelange Missachtung von Grundsätzen des Revisionsrechts. Auch zeigt sich der Beschwerdeführer nicht einsichtig, was hinsichtlich der Prognose zukünftigen Verhaltens negativ ins Gewicht fällt. Insgesamt hat die Vorinstanz ihren Beurteilungsspielraum nicht überschritten, wenn sie die schweren Verfehlungen des Beschwerdeführers höher gewichtete als den Umstand, dass ihm in der Zwischenzeit nichts vorzuwerfen war. Soweit der Beschwerdeführer eine andere Auffassung vertritt, vermag er daher mit seinen Argumenten nicht durchzudringen.</w:t>
      </w:r>
    </w:p>
    <w:p>
      <w:r>
        <w:rPr>
          <w:b/>
        </w:rPr>
        <w:t>E. 7</w:t>
      </w:r>
    </w:p>
    <w:p>
      <w:r>
        <w:t>Der Beschwerdeführer rügt eine Verletzung des Grundsatzes der Verhältnismässigkeit. Er hält fest, die verfügte Massnahme sei nicht erforderlich, weil sein beruflicher Leumund nicht kompromittiert sei und weil er ohnehin vor der Pensionierung stehe und die Y._______ bereits in ein bis vier Jahren einem Nachfolger übergeben werde. Schliesslich sei der Widerruf der Zulassung wirtschaftlich unzumutbar, da sein Einzelunternehmen dadurch eine jährliche Umsatzeinbusse von rund Fr. 900'000.- erleiden würde.</w:t>
      </w:r>
    </w:p>
    <w:p>
      <w:r>
        <w:rPr>
          <w:b/>
        </w:rPr>
        <w:t>E. 7.1</w:t>
      </w:r>
    </w:p>
    <w:p>
      <w:r>
        <w:t>Der Grundsatz der Verhältnismässigkeit verlangt, dass eine behördliche Massnahme geeignet, erforderlich und für den Betroffenen zumutbar ist. Der angestrebte Zweck muss in einem vernünftigen Verhältnis zu den eingesetzten Mitteln bzw. zu den zu seiner Verfolgung notwendigen Beschränkungen stehen (vgl. BGE 133 I 77 E. 4.1; statt vieler ULRICH HÄFELIN/GEORG MÜLLER/FELIX UHLMANN, Allgemeines Verwaltungsrecht, 5. Aufl., Zürich/Basel/Genf 2006, Rz. 581 ff.).</w:t>
      </w:r>
    </w:p>
    <w:p>
      <w:r>
        <w:rPr>
          <w:b/>
        </w:rPr>
        <w:t>E. 7.2</w:t>
      </w:r>
    </w:p>
    <w:p>
      <w:r>
        <w:t>Die Verwaltungsmassnahme muss mithin geeignet sein, das im öffentlichen Interesse angestrebte Ziel zu erreichen. Ungeeignet ist eine Massnahme dann, wenn sie am Ziel vorbeischiesst, d.h. keinerlei Wirkungen im Hinblick auf den angestrebten Zweck entfaltet oder die Erreichung dieses Zwecks sogar erschwert oder verhindert. Zu prüfen ist dementsprechend die Zwecktauglichkeit einer Massnahme (HÄFELIN/MÜLLER/UHLMANN, a.a.O, Rz. 587, mit Hinweisen). Die Revisionspflicht bezweckt den Schutz von Investoren, von Personen mit Minderheitsbeteiligungen, von Gläubigern und von öffentlichen Interessen (vgl. BBl 2004, 3989). Der Revisionsstelle kommt im heutigen Wirtschaftssystem eine zentrale Rolle zu. Sie soll die Zuverlässigkeit der Jahres- und Konzernrechnung sicherstellen und damit alle geschützten Personengruppen in die Lage versetzen, die wirtschaftliche Lage eines Unternehmens verlässlich zu beurteilen (vgl. BBl 2004 3975 f.). Die gesetzliche Regelung von Revisionsdienstleistungen macht aber nur Sinn, wenn diese durch fachlich hinreichend qualifizierte Personen erfolgt und so die Erwartungen an die Qualität erfüllt werden (vgl. BBl 2004, 3978 f.). Durch das Zulassungssystem wird geprüft, ob die betreffenden Personen diesen Anforderungen genügen. Mit der Nichtzulassung von Personen, welche keine Gewähr für eine einwandfreie Prüftätigkeit bieten, wird die genannte Schutzwirkung erzielt, die Qualität von Revisionsdienstleistungen insgesamt erhöht, das Vertrauen in die Institution der Revision gestärkt und somit das angestrebte Ziel erreicht (vgl. BVGE 2008/49 E. 6.3). Die Massnahme ist daher geeignet.</w:t>
      </w:r>
    </w:p>
    <w:p>
      <w:r>
        <w:rPr>
          <w:b/>
        </w:rPr>
        <w:t>E. 7.3</w:t>
      </w:r>
    </w:p>
    <w:p>
      <w:r>
        <w:t>Des Weiteren ist zu prüfen, ob sich die umstrittene Massnahme als zweckproportional erweist, oder ob der verfolgte Zweck auch mit einer weniger einschneidenden Massnahme erreicht werden könnte. Die einzige gesetzlich vorgesehene und unter Umständen mildere Massnahme besteht darin, die Zulassung befristet zu entziehen (Art. 17 RAG). Andere denkbare Massnahmen, beispielsweise eine auf bestimmte Gebiete beschränkte Zulassung, Kontrollen durch die Revisionsaufsichtsbehörde oder Beaufsichtigungen durch andere Revisionsexperten, sind vom Gesetz nicht vorgesehen und erscheinen nicht als geeignet, um eine einwandfreie Prüftätigkeit des Beschwerdeführers zu gewährleisten (vgl. BVGE 2008/49 E. 6.3). Es ist nicht ersichtlich, inwiefern der vom Beschwerdeführer angeführte Umstand seiner baldigen Pensionierung auf die Erforderlichkeit der Massnahme eine Auswirkung hätte. Insbesondere ist festzuhalten, dass die von der Vorinstanz verfügte Massnahme des Widerrufs der Zulassung ihre Schutzwirkung unabhängig davon entfaltet, wie lange der Beschwerdeführer noch als Revisor oder Revisionsexperte tätig ist. Dass die Vorinstanz die Zulassung lediglich befristet hätte entziehen sollen, wird vom Beschwerdeführer nicht geltend gemacht und ist angesichts des Alters des Beschwerdeführers auch nicht als sinnvoll zu erachten.</w:t>
      </w:r>
    </w:p>
    <w:p>
      <w:r>
        <w:rPr>
          <w:b/>
        </w:rPr>
        <w:t>E. 7.4</w:t>
      </w:r>
    </w:p>
    <w:p>
      <w:r>
        <w:t>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(vgl. HÄFELIN/MÜLLER/UHLMANN, a.a.O., Rz. 614). Das private Interesse des Beschwerdeführers liegt vorwiegend darin, dass er seine bisherige Tätigkeit als Revisionsexperte uneingeschränkt weiterführen möchte. Diesbezüglich ist festzuhalten, dass die Nichtzulassung des Beschwerdeführers als Revisionsexperte zwar Auswirkungen auf die Organisation seiner Gesellschaften und seine Tätigkeit als leitender Revisor hat, jedoch nicht von einem faktischen Berufsverbot gesprochen werden kann. Das Einzelunternehmen des Beschwerdeführers erwirtschaftet gemäss Angaben des Beschwerdeführers 80 Prozent des Umsatzes mit Rechnungsrevisionen (rund Fr. 898'000.-). Dieser Umsatz wird jedoch zu 100 Prozent über die Y._______ generiert und fakturiert und in der Folge gemäss einer Abmachung mit dem kantonalen Steueramt zu 90 Prozent an das Einzelunternehmen abgetreten, wofür die Y._______ diesem jährlich eine Rechnung stellt. Der Beschwerdeführer ist sowohl für sein Einzelunternehmen tätig als auch für die Y._______, welche über die provisorische Zulassung als Revisionsexpertin verfügt und in der eine weitere Person mit definitiver Zulassung als Revisionsexperte angestellt ist. Die Vorinstanz führte hierzu aus, gegebenenfalls müsse die Y._______ neu organisiert und strukturiert werden, damit das Unternehmen die definitive Zulassung als Revisionsexpertin oder Revisorin erhalten könne. Die Vorinstanz stellte nach dem Gesagten zu Recht fest, dass der Entzug der Zulassung des Beschwerdeführers als Revisionsexperte und die Nicht-Zulassung seines Einzelunternehmens mit wirtschaftlichen Folgen verbunden ist, dass diese jedoch mittels geeigneter Vorkehrungen vermieden oder reduziert werden können. Im Hinblick auf das zu verwirklichende öffentliche Interesse sind gewisse wirtschaftliche Einbussen und die Reorganisation der Geschäftsstrukturen als zumutbar anzusehen. Daher vermögen die privaten Interessen des Beschwerdeführers das öffentliche Interesse an qualitativ hochstehenden Revisionsdienstleistungen, in welchen das Vertrauen der Allgemeinheit und der Schutz eines weiten Personenkreises (bestehende wie auch zukünftige Aktionäre und Gläubiger der zu revidierenden Gesellschaften) gründet, nicht zu überwiegen.</w:t>
      </w:r>
    </w:p>
    <w:p>
      <w:r>
        <w:rPr>
          <w:b/>
        </w:rPr>
        <w:t>E. 7.5</w:t>
      </w:r>
    </w:p>
    <w:p>
      <w:r>
        <w:t>Die Vorinstanz hat den Grundsatz der Verhältnismässigkeit mit ihrem Entscheid demnach nicht verletzt.</w:t>
      </w:r>
    </w:p>
    <w:p>
      <w:r>
        <w:rPr>
          <w:b/>
        </w:rPr>
        <w:t>E. 8</w:t>
      </w:r>
    </w:p>
    <w:p>
      <w:r>
        <w:t>Zusammenfassend hat die Vorinstanz zu Recht die Zulassung des Beschwerdeführers als Revisionsexperte widerrufen, da er die Anforderungen an den unbescholtenen Leumund i.S.v. Art. 4 Abs. 1 RAG nicht erfüllt. Auch die Abweisung des Gesuchs des Einzelunternehmens des Beschwerdeführers erfolgte zu Recht. Aufgrund des Widerrufs der Zulassung des Beschwerdeführers kann sein Einzelunternehmen nicht als Revisionsexperte zugelassen werden (vgl. E. 2.1). Die Beschwerde ist deshalb abzuweisen.</w:t>
      </w:r>
    </w:p>
    <w:p>
      <w:r>
        <w:rPr>
          <w:b/>
        </w:rPr>
        <w:t>E. 9</w:t>
      </w:r>
    </w:p>
    <w:p>
      <w:r>
        <w:t>Bei diesem Ausgang des Verfahrens hat der Beschwerdeführer die Verfahrenskosten zu tragen (Art. 63 Abs. 1 VwVG, Art. 1 ff. des Reglements über Kosten und Entschädigungen vor dem Bundesverwaltungsgericht vom 21. Februar 2008 [VGKE, SR 173.320.2]). Diese werden auf Fr. 2'000.- festgesetzt und mit dem geleisteten Kostenvorschuss von Fr. 2'000.- verrechnet.</w:t>
      </w:r>
    </w:p>
    <w:p>
      <w:r>
        <w:rPr>
          <w:b/>
        </w:rPr>
        <w:t>E. 10</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Über die Zulässigkeit einer Beschwerde in öffentlich-rechtlichen Angelegenheiten gegen ein Urteil, in dem es im Hinblick auf die Zulassung als Revisionsexperte um die Frage der Gewähr für eine einwandfreie Prüftätigkeit geht, wird das Bundesgericht gegebenenfalls selbst entscheiden. Aus diesen Gründen ist dem nachfolgenden Entscheiddispositiv eine offen formulierte Rechtsmittelbelehrung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