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B-4119/2008 vom 9. März 2009</w:t>
      </w:r>
    </w:p>
    <w:p>
      <w:r>
        <w:t>Bundesverwaltungsgericht, 2009-03-09, DE</w:t>
      </w:r>
    </w:p>
    <w:p>
      <w:r>
        <w:rPr>
          <w:b/>
        </w:rPr>
        <w:t xml:space="preserve">Quelle: </w:t>
      </w:r>
      <w:r>
        <w:t>https://mcp.opencaselaw.ch/entscheid/bvger_B-4119_2008</w:t>
      </w:r>
    </w:p>
    <w:p>
      <w:r>
        <w:t>FR: TAF B-4119/2008 du 9 mars 2009</w:t>
      </w:r>
    </w:p>
    <w:p>
      <w:r>
        <w:t>IT: TAF B-4119/2008 del 9 marzo 2009</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VGG). Die Beschwerde wurde innert der gesetzlichen Frist von Art. 50 Abs. 1 des Bundesgesetzes über das Verwaltungsverfahren vom 20. Dezember 1968 (VwVG, SR 172.021) eingereicht und der verlangte Kostenvorschuss rechtzeitig geleistet. Die Beschwerdeführerin ist vom angefochtenen Entscheid besonders berührt und beschwert (Art. 48 Abs. 1 VwVG). Auf die Beschwerde ist demzufolge einzutreten.</w:t>
      </w:r>
    </w:p>
    <w:p>
      <w:r>
        <w:rPr>
          <w:b/>
        </w:rPr>
        <w:t>E. 2</w:t>
      </w:r>
    </w:p>
    <w:p>
      <w:r>
        <w:t>Mit Eingabe vom 23. Februar 2009 hat die Vorinstanz die Sistierung des Verfahrens beantragt, um einen Entscheid des Bundesgerichts in einer anderen Markenangelegenheit (Verfahrensnummer 4A_587/2008) abzuwarten. Ein hängiges Verfahren vor einer anderen Behörde bildet jedoch nur einen Sistierungsgrund, wenn es für das sistierte Verfahren von präjudizieller Bedeutung ist und es ohne Sistierung nicht rascher und einfacher zum Ziel gelangt (BGE 123 II 3 E. 2b, BGE 122 II 217 E. 3e). Eine solche Bedeutung hat jenes Verfahrens für das vorliegende nicht, da die Marken sich wesentlich von einander unterscheiden und sich beide Fälle an den klaren Vorgaben der bundesgerichtlichen Rechtsprechung orientieren. Das Sistierungsgesuch ist daher abzuweisen.</w:t>
      </w:r>
    </w:p>
    <w:p>
      <w:r>
        <w:rPr>
          <w:b/>
        </w:rPr>
        <w:t>E. 3</w:t>
      </w:r>
    </w:p>
    <w:p>
      <w:r>
        <w:t>Zwischen Deutschland und der Schweiz ist am 1. September 2008 eine neue Fassung von Art. 9sexies des Protokolls vom 27. Juni 1989 zum Madrider Abkommen über die internationale Registrierung von Marken (MMP, SR 0.232.112.4) in Kraft getreten. Diese Änderung wurde in AS 2009, 287 publiziert. Gegenüber Deutschland sind damit neu die Bestimmungen des MMP anstelle jener des Madrider Abkommens über die internationale Registrierung von Marken, revidiert in Stockholm am 14. Juli 1967 (MMA, SR 0.232.112.3) anzuwenden (JULIE POUPINET, Madrider System: Aufhebung der "Sicherungsklausel" und weitere Änderungen, in sic! 2008, S. 571 ff.). Gemäss Art. 5 Abs. 1 MMP in Verbindung mit Art. 6quinquies Bst. B Ziff. 2 und 3 der Pariser Übereinkunft zum Schutz des gewerblichen Eigentums, revidiert in Stockholm am 14. Juli 1967 (PVÜ, SR 0.232.04) darf einer Marke der Schutz namentlich verweigert werden, wenn sie jeder Unterscheidungskraft entbehrt, ausschliesslich aus beschreibenden Angaben besteht oder wenn sie gegen die guten Sitten oder öffentliche Ordnung verstösst, was insbesondere durch eine Täuschung des Publikums der Fall sein kann. Dieser zwischenstaatlichen Regelung entsprechen die Art. 2 Bst. a und c des Markenschutzgesetzes vom 28. August 1992 (MSchG, SR 232.11), wonach eine Marke vom Schutz ausgeschlossen ist, wenn sie zum Gemeingut gehört oder es sich um ein irreführendes Zeichen handelt. Lehre und Praxis zu diesen Bestimmungen können damit vorliegend herangezogen werden (BGE 128 III 457 E. 2 Yukon, BGE 114 II 373 E. 1 Alta tensione).</w:t>
      </w:r>
    </w:p>
    <w:p>
      <w:r>
        <w:rPr>
          <w:b/>
        </w:rPr>
        <w:t>E. 4</w:t>
      </w:r>
    </w:p>
    <w:p>
      <w:r>
        <w:t>Geografisch irreführend ist ein Zeichen, das eine geografische Angabe enthält und die Adressaten zur Annahme verleitet, die gekennzeichneten Waren oder Dienstleistungen stammten aus dem Land oder dem Ort, auf den die Angabe hinweist, obschon dies in Wirklichkeit nicht zutrifft (BGE 128 III 460 E. 2.2 Yukon, BGE 132 III 772 E. 2.1 Colorado [fig.]). Die geografische Angabe muss mit anderen Worten bei den massgeblichen Verkehrskreisen eine Herkunftserwartung wecken, damit sie vom Schutz ausgeschlossen ist (Urteil des Bundesverwaltungsgerichts B-7408/2006 vom 21. Juni 2007 E. 4.2 bticino [fig.], Entscheid der Eidgenössischen Rekurskommission für geistiges Eigentum [RKGE] vom 9. Oktober 2002 E. 7 ÖKK Öffentliche Krankenkassen Schweiz [fig.], veröffentlicht in sic! 2003 S. 430). Eine Herkunftserwartung fehlt namentlich, wenn die Marke in eine der in BGE 128 III 457 ff. E. 2.1 Yukon definierten Fallgruppen gehört, nämlich wenn der Ort, auf den das Zeichen hinweist, in der Schweiz unbekannt ist, das Zeichen wegen seines Symbolgehalts als Fantasiezeichen aufgefasst wird, der Ort, auf den das Zeichen hinweist, sich nicht als Produktions-, Fabrikations- oder Handelsort eignet, das Zeichen eine Typenbezeichnung darstellt, sich für ein Unternehmen im Verkehr durchgesetzt hat oder zu einer Gattungsbezeichnung degeneriert ist. Nach der Rechtsprechung der RKGE war in gewissen Fällen auch massgebend, dass das Zeichen, ohne direkt zu einer dieser Fallgruppen zu gehören, in seinem Gesamteindruck keinen geografischen Herkunftsbezug aufwies. So vermochten etwa zusätzliche Wortelemente eine Herkunftserwartung auszuschliessen (Entscheide der RKGE vom 19. Mai 2006 E. 3 f. British American Tobacco Switzerland [fig.], veröffentlicht in sic! 2006 S. 772 f., vom 15. Mai 2006 E. 2 Off Broadway Shoe Warehouse [fig.], veröffentlicht in sic! 2006 S. 769 f., vom 12. April 2006 E. 3 Burberry Brit, veröffentlicht in sic! 2006 S. 681, vom 6. März 2006 E. 3 Toscanol, veröffentlicht in sic! 2006 S. 586).</w:t>
      </w:r>
    </w:p>
    <w:p>
      <w:r>
        <w:rPr>
          <w:b/>
        </w:rPr>
        <w:t>E. 5.1</w:t>
      </w:r>
    </w:p>
    <w:p>
      <w:r>
        <w:t>Im ersten Schritt sind die massgeblichen Verkehrskreise des aktuellen Warenverzeichnisses festzustellen, wofür dieses normativ gewichtet werden muss. Merkmale, die nicht die Ware oder Dienstleistung selbst individualisieren, sondern bloss den Nachfragerkreis auf dem Umweg über eine marketingmässige Positionierung verkleinern, zum Beispiel indem sie die Ware auf ein bestimmtes Verkaufsgebiet, Verkaufssegment oder auf eine bestimmte Qualität begrenzen, sind ausser Acht zu lassen (Eugen Marbach, Die Verkehrskreise im Markenrecht, sic! 2007, S. 10 f.; Urteil des Bundesverwaltungsgerichts B-1085/2008 vom 13. November 2008 E. 4 RED BULL/STIERBRÄU). Die Warenbezeichnungen sind dabei, unabhängig vom tatsächlichen oder beabsichtigten Gebrauch der Marke, so zu prüfen, wie sie angemeldet bzw. im Register eingetragen sind (Eugen Marbach, in: Roland von Büren/Lucas David [Hrsg.], Schweizerisches Immaterialgüter- und Wettbewerbsrecht, Bd. III, Kennzeichenrecht, Basel 1996, S. 29, Christoph Willi, Markenschutzgesetz, Kommentar zum schweizerischen Markenrecht unter Berücksichtigung des europäischen und internationalen Markenrechts, Zürich 2002, Art. 2 N. 10).</w:t>
      </w:r>
    </w:p>
    <w:p>
      <w:r>
        <w:rPr>
          <w:b/>
        </w:rPr>
        <w:t>E. 5.2</w:t>
      </w:r>
    </w:p>
    <w:p>
      <w:r>
        <w:t>Die Beschwerdeführerin führt aus, ihre Marke richte sich mit der neuen Warenliste nur noch an spezialisierte Verkehrskreise im Bereich der Technik, unter welchen "das Englische dominiere". Diese würden von "Control Monitors" (abgekürzt "CoMo") und nicht von "Kontrollmonitoren" sprechen und diesen englischen Ausdruck schon aus diesem Grund verwenden, weil das englische "to control" nicht einfach "kontrollieren", sondern auch "steuern" bedeute. Diese Feststellung erscheint jedoch spekulativ und wird durch die spärlich vorgelegten Beweismittel nicht gestützt. Die Beschwerdeführerin geht zu Unrecht davon aus, dass sie das beanspruchte Warensegment mit der jüngsten Änderung ihres Warenverzeichnisses von Bildschirmen zu "Kontrollmonitoren" wesentlich reduziert habe und ihre Marke nun nicht mehr für Informatikbildschirme beanspruche. "Moniteurs de contrôle" unterscheiden sich technisch nicht von anderen Bildschirmen, worauf auch die Vorinstanz zurecht hingewiesen hat. Kontrollbildschirme ermöglichen höchstens eine Kontrolle, führen sie aber nicht selber durch und müssen zu diesem Zweck nichts anderes leisten als Bildschirme im Allgemeinen, nämlich das Bild anzeigen, das der Prozessor ihnen einspeist. Warum ein Kontrollbildschirm in der Informatik und in anderen Gebieten keine Anwendung finden soll, ist darum nicht einzusehen. Dass die Bildschirme auf den von der Beschwerdeführerin eingereichten Gebrauchsbelegen relativ klein konstruiert sind, ändert als tatsächlicher Gebrauch der Marke nichts und kommt in ihrem Warenverzeichnis nicht zum Ausdruck. Das Merkmal "de contrôle" individualisiert mithin vorliegend nicht die Ware selbst, sondern bezeichnet nur ein mögliches Verkaufssegment von Bildschirmen im Sinne einer marketingmässigen Positionierung (vgl. E. 5.1). Die massgeblichen Verkehrskreise sind daher mangels eines objektiven Funktionsunterschieds dieselben wie für andere Bildschirme. Der Beschwerdeführerin ist deshalb auch nicht zu folgen, wenn sie vorbringt, "Moniteurs de contrôle, en particulier appareils pour exploiter et surveiller des données enregistrées" würden registrierte Daten im Sinne des englischen Wortes "control" steuern und nicht bloss anzeigen. Durch den Oberbegriff "moniteurs" bzw. "monitors" hat sie das Warenverzeichnis vielmehr auf Bildschirme beschränkt, die nicht steuern, sondern anzeigen. Denn elektronische Geräte zur Steuerung von Daten fallen dagegen nicht unter den Begriff "moniteurs" bzw. "monitors". Die massgeblichen Verkehrskreise für die Beurteilung der Marke sind deshalb, wie schon unter dem früheren Warenverzeichnis vor der Vorinstanz, die Käuferschaft von Bildschirmen, insbesondere von Bildschirmen für die Auswertung und Überwachung registrierter Daten.</w:t>
      </w:r>
    </w:p>
    <w:p>
      <w:r>
        <w:rPr>
          <w:b/>
        </w:rPr>
        <w:t>E. 5.3</w:t>
      </w:r>
    </w:p>
    <w:p>
      <w:r>
        <w:t>Damit kann offen bleiben, inwieweit der Annahme der Beschwerdeführerin zu folgen ist, dass in technisch spezialisierten Verkehrskreisen die englische Sprache dominiere und eher von "Control Monitors" als von Kontrollmonitoren gesprochen werde. Auch hat sie für diesen Sprachgebrauch keinen Beweis offeriert.</w:t>
      </w:r>
    </w:p>
    <w:p>
      <w:r>
        <w:rPr>
          <w:b/>
        </w:rPr>
        <w:t>E. 6</w:t>
      </w:r>
    </w:p>
    <w:p>
      <w:r>
        <w:t>Das Bundesverwaltungsgericht setzt für die Prüfung der Frage, ob ein Zeichen eine geografische Herkunft erwarten lässt und dadurch im Zusammenhang mit bestimmten Waren oder Dienstleistungen zum Gemeingut zählt oder irreführend wirkt, in der Regel besondere Sachverhaltsabklärungen voraus. Es prüft einerseits, ob die Vorinstanz die mit vernünftigem Aufwand erhältlichen Beweismittel, soweit es nicht um allgemein notorische Tatsachen geht, vollständig erhoben und gewürdigt hat. Eine Herkunftserwartung bejaht es in der Regel dann, wenn konkrete Anhaltspunkte dafür bestehen, dass der Sinngehalt im Gesamteindruck des Zeichens und im Zusammenhang mit den Waren und Dienstleistungen, für die die Marke beansprucht wird, als Herkunftsbezeichnung aufgefasst wird und eine entsprechende Herkunft dieser Waren und Dienstleistungen erwarten lässt. Bei mehrdeutigen Zeichen ist zudem zu prüfen, ob kein anderer naheliegenderer Sinngehalt ohne geografischen Bezug vorliegt, der eine Herkunftserwartung in den Hintergrund rückt. Für Weitergehendes trägt die Beschwerdeführerin die Folgen der Beweislosigkeit (vgl. Urteil des Bundesverwaltungsgerichts B-7413/2006 vom 15. Oktober 2008 E. 4.3 MADISON).</w:t>
      </w:r>
    </w:p>
    <w:p>
      <w:r>
        <w:rPr>
          <w:b/>
        </w:rPr>
        <w:t>E. 7</w:t>
      </w:r>
    </w:p>
    <w:p>
      <w:r>
        <w:t>Im vorliegenden Fall hat die Vorinstanz unbestritten gebliebene und belegte Feststellungen zu Grösse, Einfluss und Bekanntheit der italienischen Stadt Como am Comersee getroffen und den massgeblichen Sachverhalt somit ausreichend geprüft. Da die Beschwerdeführerin in der Schweiz nach ihrer eigenen Darstellung nur etwa 15 Kunden pro Jahr und 100 Kunden insgesamt erreicht und nur rund 60 Geräte pro Jahr verkauft, kann ihre Marke bei dem weitaus grösseren Abnehmerkreis (vgl. E. 5.1 ff. vorne) keinen eigenständigen zweiten Sinn als betrieblichen Herkunftshinweis neben dieser geografischen Bedeutung erlangt haben. Dass die Vorinstanz Beweismittel zur Glaubhaftmachung der Überwindung des Ausschlussgrundes von Art. 2 Bst. c MSchG durch Verkehrsbekanntheit grundsätzlich strenger prüft als Beweismittel zur Glaubhaftmachung der Überwindung desjenigen von Art. 2 Bst. a MSchG, ist angesichts der unterschiedlichen Schutzzwecke dieser Bestimmungen nicht zu beanstanden. Es kann daher offen bleiben, ob die massgeblichen Verkehrskreise in dem zum Schutz angemeldeten Zeichenbestandteil COMO die Schreibweise CoMo erblicken würden, falls ihnen diese als Abkürzung für "Control Monitors" geläufig wäre. Die englische Vokabel "view" ist den hiesigen massgeblichen Abnehmer - weil Teil des englischen Grundwortschatzes - bekannt. Da die Stadt Como in schöner Umgebung mit freier Aussicht liegt, verbindet sich der Sinn des Markenbestandteils COMO mit demjenigen von VIEW in naheliegender Weise zu einem Hinweis auf diese Aussicht. Das für Bildschirme anpreisende Wortspiel schliesst einen gleichzeitigen Hinweis auf die geografische Herkunft solcher Geräte aber nicht aus, sondern legt ihn, wie die Vorinstanz zurecht befand, vielmehr nahe. Auch bekannte technische Gerätemarken wie "Texas Instruments" verbinden eine geografische Bezeichnung mit einem zweiten Bestandteil ohne die Erwartung einer entsprechenden geografischen Herkunft der Ware dadurch zu verlieren (ebenso Urteil des Bundesgerichts 4A.3/2006 vom 18. Mai 2006 E. 2.2 Fischmanufaktur Deutsche See [fig.], veröffentlicht in sic! 2006 S. 678). Die Marke weckt für die eingetragenen Waren darum die Erwartung einer italienischen Herkunft und ist für Waren mit anderer Herkunft irreführend.</w:t>
      </w:r>
    </w:p>
    <w:p>
      <w:r>
        <w:rPr>
          <w:b/>
        </w:rPr>
        <w:t>E. 8</w:t>
      </w:r>
    </w:p>
    <w:p>
      <w:r>
        <w:t>Die Beschwerde ist aus diesen Gründen abzuweisen und die angefochtene Verfügung zu bestätigen. Bei diesem Ausgang sind die Verfahrenskosten der Beschwerdeführerin aufzuerlegen (Art. 63 Abs. 1 VwVG). 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bei eher unbedeutenden Zeichen ein Streitwert zwischen Fr. 50'000.-- und Fr. 100'000.-- angenommen werden darf (BGE 133 III 492 E. 3.3 [Turbinenfuss] [3D], mit Hinweisen). Von diesem Erfahrungswert ist auch im vorliegenden Verfahren auszugehen. 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